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C76929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C76929">
        <w:rPr>
          <w:b/>
          <w:szCs w:val="28"/>
        </w:rPr>
        <w:t>22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B206ED">
        <w:rPr>
          <w:sz w:val="28"/>
          <w:szCs w:val="28"/>
        </w:rPr>
        <w:t>запасных частей</w:t>
      </w:r>
      <w:r>
        <w:rPr>
          <w:sz w:val="28"/>
          <w:szCs w:val="28"/>
        </w:rPr>
        <w:t xml:space="preserve">  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установки  обеззараживания  воздуха  «Мегалит-2 ЖТ.0.24 </w:t>
      </w:r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6A4F16">
        <w:rPr>
          <w:sz w:val="28"/>
          <w:szCs w:val="28"/>
        </w:rPr>
        <w:t>ООО «ЛитТрансСервис»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60" w:rsidRDefault="00531460" w:rsidP="004F22CF">
      <w:r>
        <w:separator/>
      </w:r>
    </w:p>
  </w:endnote>
  <w:endnote w:type="continuationSeparator" w:id="0">
    <w:p w:rsidR="00531460" w:rsidRDefault="00531460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60" w:rsidRDefault="00531460" w:rsidP="004F22CF">
      <w:r>
        <w:separator/>
      </w:r>
    </w:p>
  </w:footnote>
  <w:footnote w:type="continuationSeparator" w:id="0">
    <w:p w:rsidR="00531460" w:rsidRDefault="00531460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1460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76929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41000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A133-0396-4D15-964F-9CE43339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39</cp:revision>
  <cp:lastPrinted>2013-10-11T05:08:00Z</cp:lastPrinted>
  <dcterms:created xsi:type="dcterms:W3CDTF">2013-07-12T12:03:00Z</dcterms:created>
  <dcterms:modified xsi:type="dcterms:W3CDTF">2013-12-10T06:56:00Z</dcterms:modified>
</cp:coreProperties>
</file>