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866D5D" w:rsidRPr="00866D5D">
        <w:rPr>
          <w:b/>
          <w:bCs/>
          <w:sz w:val="28"/>
        </w:rPr>
        <w:t>30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E267B4" w:rsidRPr="00866D5D">
        <w:rPr>
          <w:b/>
          <w:bCs/>
          <w:sz w:val="28"/>
        </w:rPr>
        <w:t>октября</w:t>
      </w:r>
      <w:r w:rsidR="001C065E" w:rsidRPr="00866D5D">
        <w:rPr>
          <w:b/>
          <w:bCs/>
          <w:sz w:val="28"/>
        </w:rPr>
        <w:t xml:space="preserve"> </w:t>
      </w:r>
      <w:r w:rsidR="00931FCD" w:rsidRPr="00866D5D">
        <w:rPr>
          <w:b/>
          <w:bCs/>
          <w:sz w:val="28"/>
        </w:rPr>
        <w:t xml:space="preserve">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267B4" w:rsidRPr="003E31E2" w:rsidRDefault="00B007F8" w:rsidP="00E267B4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E267B4" w:rsidRPr="003E31E2">
        <w:rPr>
          <w:b/>
          <w:sz w:val="28"/>
          <w:szCs w:val="28"/>
        </w:rPr>
        <w:t xml:space="preserve">№ </w:t>
      </w:r>
      <w:r w:rsidR="00E267B4" w:rsidRPr="003E31E2">
        <w:rPr>
          <w:b/>
          <w:color w:val="000000"/>
          <w:sz w:val="28"/>
          <w:szCs w:val="28"/>
        </w:rPr>
        <w:t>ОК/5</w:t>
      </w:r>
      <w:r w:rsidR="0027185B">
        <w:rPr>
          <w:b/>
          <w:color w:val="000000"/>
          <w:sz w:val="28"/>
          <w:szCs w:val="28"/>
        </w:rPr>
        <w:t>8</w:t>
      </w:r>
      <w:r w:rsidR="00E267B4" w:rsidRPr="003E31E2">
        <w:rPr>
          <w:b/>
          <w:color w:val="000000"/>
          <w:sz w:val="28"/>
          <w:szCs w:val="28"/>
        </w:rPr>
        <w:t xml:space="preserve">-АО ВРМ/2020 </w:t>
      </w:r>
      <w:r w:rsidR="00E267B4" w:rsidRPr="003E31E2">
        <w:rPr>
          <w:sz w:val="28"/>
          <w:szCs w:val="28"/>
        </w:rPr>
        <w:t xml:space="preserve">(далее – открытый конкурс) на право заключения Договора поставки </w:t>
      </w:r>
      <w:proofErr w:type="spellStart"/>
      <w:r w:rsidR="00E267B4" w:rsidRPr="003E31E2">
        <w:rPr>
          <w:b/>
          <w:sz w:val="28"/>
          <w:szCs w:val="28"/>
        </w:rPr>
        <w:t>лесопиломатериала</w:t>
      </w:r>
      <w:proofErr w:type="spellEnd"/>
      <w:r w:rsidR="00E267B4" w:rsidRPr="003E31E2">
        <w:rPr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E267B4" w:rsidRPr="003E31E2">
        <w:rPr>
          <w:color w:val="212121"/>
          <w:sz w:val="28"/>
          <w:szCs w:val="28"/>
          <w:shd w:val="clear" w:color="auto" w:fill="FFFFFF"/>
        </w:rPr>
        <w:t>в 1 полугоди</w:t>
      </w:r>
      <w:r w:rsidR="00866D5D">
        <w:rPr>
          <w:color w:val="212121"/>
          <w:sz w:val="28"/>
          <w:szCs w:val="28"/>
          <w:shd w:val="clear" w:color="auto" w:fill="FFFFFF"/>
        </w:rPr>
        <w:t>и</w:t>
      </w:r>
      <w:r w:rsidR="00E267B4" w:rsidRPr="003E31E2">
        <w:rPr>
          <w:color w:val="212121"/>
          <w:sz w:val="28"/>
          <w:szCs w:val="28"/>
          <w:shd w:val="clear" w:color="auto" w:fill="FFFFFF"/>
        </w:rPr>
        <w:t xml:space="preserve"> 2021г.</w:t>
      </w:r>
    </w:p>
    <w:p w:rsidR="00B007F8" w:rsidRPr="002608C3" w:rsidRDefault="00B007F8" w:rsidP="00AE5DC3">
      <w:pPr>
        <w:pStyle w:val="12"/>
        <w:numPr>
          <w:ilvl w:val="0"/>
          <w:numId w:val="26"/>
        </w:numPr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267B4" w:rsidRDefault="00FD5F3F" w:rsidP="00E267B4">
      <w:pPr>
        <w:pStyle w:val="12"/>
        <w:rPr>
          <w:color w:val="212121"/>
          <w:szCs w:val="28"/>
          <w:shd w:val="clear" w:color="auto" w:fill="FFFFFF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E267B4" w:rsidRPr="003E31E2">
        <w:rPr>
          <w:b/>
          <w:szCs w:val="28"/>
        </w:rPr>
        <w:t xml:space="preserve">№ </w:t>
      </w:r>
      <w:r w:rsidR="00E267B4" w:rsidRPr="003E31E2">
        <w:rPr>
          <w:b/>
          <w:color w:val="000000"/>
          <w:szCs w:val="28"/>
        </w:rPr>
        <w:t>ОК/5</w:t>
      </w:r>
      <w:r w:rsidR="0027185B">
        <w:rPr>
          <w:b/>
          <w:color w:val="000000"/>
          <w:szCs w:val="28"/>
        </w:rPr>
        <w:t>8</w:t>
      </w:r>
      <w:r w:rsidR="00E267B4" w:rsidRPr="003E31E2">
        <w:rPr>
          <w:b/>
          <w:color w:val="000000"/>
          <w:szCs w:val="28"/>
        </w:rPr>
        <w:t xml:space="preserve">-АО ВРМ/2020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proofErr w:type="spellStart"/>
      <w:r w:rsidR="00297EE3" w:rsidRPr="00C01EEB">
        <w:rPr>
          <w:b/>
          <w:szCs w:val="28"/>
        </w:rPr>
        <w:t>лесопиломатериала</w:t>
      </w:r>
      <w:proofErr w:type="spellEnd"/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 xml:space="preserve">(далее – Товар) </w:t>
      </w:r>
      <w:r w:rsidR="00E267B4" w:rsidRPr="003E31E2">
        <w:rPr>
          <w:szCs w:val="28"/>
        </w:rPr>
        <w:t xml:space="preserve">для нужд Тамбовского ВРЗ, Воронежского ВРЗ - филиалов АО «ВРМ» </w:t>
      </w:r>
      <w:r w:rsidR="00E267B4" w:rsidRPr="003E31E2">
        <w:rPr>
          <w:color w:val="212121"/>
          <w:szCs w:val="28"/>
          <w:shd w:val="clear" w:color="auto" w:fill="FFFFFF"/>
        </w:rPr>
        <w:t>в декабре 2020</w:t>
      </w:r>
      <w:r w:rsidR="00866D5D">
        <w:rPr>
          <w:color w:val="212121"/>
          <w:szCs w:val="28"/>
          <w:shd w:val="clear" w:color="auto" w:fill="FFFFFF"/>
        </w:rPr>
        <w:t xml:space="preserve"> г.</w:t>
      </w:r>
      <w:r w:rsidR="00E267B4" w:rsidRPr="003E31E2">
        <w:rPr>
          <w:color w:val="212121"/>
          <w:szCs w:val="28"/>
          <w:shd w:val="clear" w:color="auto" w:fill="FFFFFF"/>
        </w:rPr>
        <w:t xml:space="preserve"> и 1 полугоди</w:t>
      </w:r>
      <w:r w:rsidR="00866D5D">
        <w:rPr>
          <w:color w:val="212121"/>
          <w:szCs w:val="28"/>
          <w:shd w:val="clear" w:color="auto" w:fill="FFFFFF"/>
        </w:rPr>
        <w:t>и</w:t>
      </w:r>
      <w:r w:rsidR="00E267B4" w:rsidRPr="003E31E2">
        <w:rPr>
          <w:color w:val="212121"/>
          <w:szCs w:val="28"/>
          <w:shd w:val="clear" w:color="auto" w:fill="FFFFFF"/>
        </w:rPr>
        <w:t xml:space="preserve"> 2021г.</w:t>
      </w:r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Бj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- количество баллов j-</w:t>
            </w:r>
            <w:proofErr w:type="spellStart"/>
            <w:r w:rsidRPr="00F51A1A">
              <w:rPr>
                <w:bCs/>
                <w:sz w:val="21"/>
                <w:szCs w:val="21"/>
              </w:rPr>
              <w:t>го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∑</w:t>
            </w:r>
            <w:proofErr w:type="spellStart"/>
            <w:r w:rsidRPr="00F51A1A">
              <w:rPr>
                <w:bCs/>
                <w:sz w:val="21"/>
                <w:szCs w:val="21"/>
              </w:rPr>
              <w:t>ср.год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5558989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5558990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5558991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5558992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FE5057" w:rsidRPr="00FE5057">
        <w:rPr>
          <w:b/>
          <w:sz w:val="28"/>
          <w:szCs w:val="28"/>
        </w:rPr>
        <w:t xml:space="preserve">№ </w:t>
      </w:r>
      <w:r w:rsidR="00FE5057" w:rsidRPr="00FE5057">
        <w:rPr>
          <w:b/>
          <w:color w:val="000000"/>
          <w:sz w:val="28"/>
          <w:szCs w:val="28"/>
        </w:rPr>
        <w:t>ОК/5</w:t>
      </w:r>
      <w:r w:rsidR="0027185B">
        <w:rPr>
          <w:b/>
          <w:color w:val="000000"/>
          <w:sz w:val="28"/>
          <w:szCs w:val="28"/>
        </w:rPr>
        <w:t>8</w:t>
      </w:r>
      <w:r w:rsidR="00FE5057" w:rsidRPr="00FE5057">
        <w:rPr>
          <w:b/>
          <w:color w:val="000000"/>
          <w:sz w:val="28"/>
          <w:szCs w:val="28"/>
        </w:rPr>
        <w:t xml:space="preserve">-АО ВРМ/2020 </w:t>
      </w:r>
      <w:r w:rsidR="00FE5057" w:rsidRPr="00FE5057">
        <w:rPr>
          <w:sz w:val="28"/>
          <w:szCs w:val="28"/>
        </w:rPr>
        <w:t xml:space="preserve">(далее – открытый конкурс) на право заключения Договора поставки </w:t>
      </w:r>
      <w:proofErr w:type="spellStart"/>
      <w:r w:rsidR="00FE5057" w:rsidRPr="00FE5057">
        <w:rPr>
          <w:b/>
          <w:sz w:val="28"/>
          <w:szCs w:val="28"/>
        </w:rPr>
        <w:t>лесопиломатериала</w:t>
      </w:r>
      <w:proofErr w:type="spellEnd"/>
      <w:r w:rsidR="00FE5057" w:rsidRPr="00FE5057">
        <w:rPr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FE5057" w:rsidRPr="00FE5057">
        <w:rPr>
          <w:color w:val="212121"/>
          <w:sz w:val="28"/>
          <w:szCs w:val="28"/>
          <w:shd w:val="clear" w:color="auto" w:fill="FFFFFF"/>
        </w:rPr>
        <w:t>1 полугоди</w:t>
      </w:r>
      <w:r w:rsidR="00AC75A9">
        <w:rPr>
          <w:color w:val="212121"/>
          <w:sz w:val="28"/>
          <w:szCs w:val="28"/>
          <w:shd w:val="clear" w:color="auto" w:fill="FFFFFF"/>
        </w:rPr>
        <w:t>и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 2021г.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F7" w:rsidRDefault="00A75EF7">
      <w:r>
        <w:separator/>
      </w:r>
    </w:p>
  </w:endnote>
  <w:endnote w:type="continuationSeparator" w:id="0">
    <w:p w:rsidR="00A75EF7" w:rsidRDefault="00A7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5C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2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F7" w:rsidRDefault="00A75EF7">
      <w:r>
        <w:separator/>
      </w:r>
    </w:p>
  </w:footnote>
  <w:footnote w:type="continuationSeparator" w:id="0">
    <w:p w:rsidR="00A75EF7" w:rsidRDefault="00A7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E60F-A3BD-4D60-A498-BFC12A70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10</cp:revision>
  <cp:lastPrinted>2018-05-14T13:12:00Z</cp:lastPrinted>
  <dcterms:created xsi:type="dcterms:W3CDTF">2020-10-29T14:54:00Z</dcterms:created>
  <dcterms:modified xsi:type="dcterms:W3CDTF">2020-10-30T07:30:00Z</dcterms:modified>
</cp:coreProperties>
</file>