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3D692E" w:rsidRDefault="00EF44CE" w:rsidP="00EF44CE">
      <w:pPr>
        <w:jc w:val="center"/>
        <w:rPr>
          <w:b/>
          <w:sz w:val="32"/>
          <w:szCs w:val="32"/>
        </w:rPr>
      </w:pPr>
      <w:r w:rsidRPr="003D692E">
        <w:rPr>
          <w:b/>
          <w:sz w:val="32"/>
          <w:szCs w:val="32"/>
        </w:rPr>
        <w:t>ПРОТОКОЛ № </w:t>
      </w:r>
      <w:r w:rsidR="00EE6BAD" w:rsidRPr="003D692E">
        <w:rPr>
          <w:b/>
          <w:sz w:val="32"/>
          <w:szCs w:val="32"/>
        </w:rPr>
        <w:t xml:space="preserve">ВРМ </w:t>
      </w:r>
      <w:r w:rsidR="000956FF" w:rsidRPr="003D692E">
        <w:rPr>
          <w:b/>
          <w:sz w:val="32"/>
          <w:szCs w:val="32"/>
        </w:rPr>
        <w:t>–</w:t>
      </w:r>
      <w:r w:rsidR="00EE6BAD" w:rsidRPr="003D692E">
        <w:rPr>
          <w:b/>
          <w:sz w:val="32"/>
          <w:szCs w:val="32"/>
        </w:rPr>
        <w:t xml:space="preserve"> </w:t>
      </w:r>
      <w:r w:rsidR="00B22D63" w:rsidRPr="003D692E">
        <w:rPr>
          <w:b/>
          <w:sz w:val="32"/>
          <w:szCs w:val="32"/>
        </w:rPr>
        <w:t xml:space="preserve">ОК/474 - </w:t>
      </w:r>
      <w:r w:rsidR="000956FF" w:rsidRPr="003D692E">
        <w:rPr>
          <w:b/>
          <w:sz w:val="32"/>
          <w:szCs w:val="32"/>
        </w:rPr>
        <w:t>ЭГ</w:t>
      </w:r>
      <w:proofErr w:type="gramStart"/>
      <w:r w:rsidR="00B22D63" w:rsidRPr="003D692E">
        <w:rPr>
          <w:b/>
          <w:sz w:val="32"/>
          <w:szCs w:val="32"/>
        </w:rPr>
        <w:t>1</w:t>
      </w:r>
      <w:proofErr w:type="gramEnd"/>
    </w:p>
    <w:p w:rsidR="00815B54" w:rsidRPr="003D692E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3D692E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3D692E">
        <w:rPr>
          <w:b/>
          <w:sz w:val="32"/>
          <w:szCs w:val="32"/>
        </w:rPr>
        <w:t>от</w:t>
      </w:r>
      <w:r w:rsidR="00815B54" w:rsidRPr="003D692E">
        <w:rPr>
          <w:b/>
          <w:sz w:val="32"/>
          <w:szCs w:val="32"/>
        </w:rPr>
        <w:t>крытом</w:t>
      </w:r>
      <w:r w:rsidRPr="003D692E">
        <w:rPr>
          <w:b/>
          <w:sz w:val="32"/>
          <w:szCs w:val="32"/>
        </w:rPr>
        <w:t xml:space="preserve"> конкурсе</w:t>
      </w:r>
      <w:r w:rsidR="00815B54" w:rsidRPr="003D692E">
        <w:rPr>
          <w:b/>
          <w:sz w:val="32"/>
          <w:szCs w:val="32"/>
        </w:rPr>
        <w:t xml:space="preserve">                      </w:t>
      </w:r>
      <w:r w:rsidR="00815B54" w:rsidRPr="003D692E">
        <w:rPr>
          <w:rFonts w:eastAsia="MS Mincho"/>
          <w:b/>
          <w:sz w:val="32"/>
          <w:szCs w:val="32"/>
        </w:rPr>
        <w:t xml:space="preserve">№ </w:t>
      </w:r>
      <w:r w:rsidR="0053055E" w:rsidRPr="003D692E">
        <w:rPr>
          <w:sz w:val="28"/>
          <w:szCs w:val="28"/>
        </w:rPr>
        <w:t xml:space="preserve"> </w:t>
      </w:r>
      <w:r w:rsidR="0053055E" w:rsidRPr="003D692E">
        <w:rPr>
          <w:b/>
          <w:sz w:val="28"/>
          <w:szCs w:val="28"/>
          <w:u w:val="single"/>
        </w:rPr>
        <w:t>ОК/474-АО ВРМ/2017</w:t>
      </w:r>
    </w:p>
    <w:p w:rsidR="00EF44CE" w:rsidRPr="003D692E" w:rsidRDefault="00EF44CE" w:rsidP="00EF44CE">
      <w:pPr>
        <w:jc w:val="center"/>
        <w:rPr>
          <w:b/>
          <w:sz w:val="32"/>
          <w:szCs w:val="32"/>
        </w:rPr>
      </w:pPr>
    </w:p>
    <w:p w:rsidR="0093203E" w:rsidRPr="003D692E" w:rsidRDefault="0093203E" w:rsidP="00EF44CE">
      <w:pPr>
        <w:jc w:val="center"/>
        <w:rPr>
          <w:b/>
          <w:sz w:val="32"/>
          <w:szCs w:val="32"/>
        </w:rPr>
      </w:pPr>
    </w:p>
    <w:p w:rsidR="00EF44CE" w:rsidRPr="003D692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Pr="003D692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г. </w:t>
      </w:r>
      <w:r w:rsidR="00EB7597" w:rsidRPr="003D692E">
        <w:rPr>
          <w:sz w:val="28"/>
          <w:szCs w:val="28"/>
        </w:rPr>
        <w:t>Москва</w:t>
      </w:r>
      <w:r w:rsidRPr="003D692E">
        <w:rPr>
          <w:sz w:val="28"/>
          <w:szCs w:val="28"/>
        </w:rPr>
        <w:t xml:space="preserve">                                                                      «</w:t>
      </w:r>
      <w:r w:rsidR="0053055E" w:rsidRPr="003D692E">
        <w:rPr>
          <w:sz w:val="28"/>
          <w:szCs w:val="28"/>
        </w:rPr>
        <w:t>11</w:t>
      </w:r>
      <w:r w:rsidRPr="003D692E">
        <w:rPr>
          <w:sz w:val="28"/>
          <w:szCs w:val="28"/>
        </w:rPr>
        <w:t>»</w:t>
      </w:r>
      <w:r w:rsidR="00EB7597" w:rsidRPr="003D692E">
        <w:rPr>
          <w:sz w:val="28"/>
          <w:szCs w:val="28"/>
        </w:rPr>
        <w:t xml:space="preserve"> </w:t>
      </w:r>
      <w:r w:rsidR="0053055E" w:rsidRPr="003D692E">
        <w:rPr>
          <w:sz w:val="28"/>
          <w:szCs w:val="28"/>
        </w:rPr>
        <w:t>м</w:t>
      </w:r>
      <w:r w:rsidR="00EB7597" w:rsidRPr="003D692E">
        <w:rPr>
          <w:sz w:val="28"/>
          <w:szCs w:val="28"/>
        </w:rPr>
        <w:t>а</w:t>
      </w:r>
      <w:r w:rsidR="0053055E" w:rsidRPr="003D692E">
        <w:rPr>
          <w:sz w:val="28"/>
          <w:szCs w:val="28"/>
        </w:rPr>
        <w:t>я</w:t>
      </w:r>
      <w:r w:rsidRPr="003D692E">
        <w:rPr>
          <w:sz w:val="28"/>
          <w:szCs w:val="28"/>
        </w:rPr>
        <w:t xml:space="preserve"> 201</w:t>
      </w:r>
      <w:r w:rsidR="0053055E" w:rsidRPr="003D692E">
        <w:rPr>
          <w:sz w:val="28"/>
          <w:szCs w:val="28"/>
        </w:rPr>
        <w:t>7</w:t>
      </w:r>
      <w:r w:rsidRPr="003D692E">
        <w:rPr>
          <w:sz w:val="28"/>
          <w:szCs w:val="28"/>
        </w:rPr>
        <w:t xml:space="preserve"> г.</w:t>
      </w:r>
    </w:p>
    <w:p w:rsidR="00EF44CE" w:rsidRPr="003D692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 w:rsidRPr="003D692E">
        <w:rPr>
          <w:sz w:val="28"/>
          <w:szCs w:val="28"/>
        </w:rPr>
        <w:tab/>
      </w:r>
    </w:p>
    <w:p w:rsidR="00EF44CE" w:rsidRPr="003D692E" w:rsidRDefault="00EF44CE" w:rsidP="00EF44CE">
      <w:pPr>
        <w:jc w:val="both"/>
        <w:rPr>
          <w:sz w:val="28"/>
          <w:u w:val="single"/>
        </w:rPr>
      </w:pPr>
      <w:r w:rsidRPr="003D692E">
        <w:rPr>
          <w:sz w:val="28"/>
          <w:u w:val="single"/>
        </w:rPr>
        <w:t>Присутствовали: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53055E" w:rsidRPr="003D692E" w:rsidTr="00BB374B">
        <w:trPr>
          <w:trHeight w:val="899"/>
        </w:trPr>
        <w:tc>
          <w:tcPr>
            <w:tcW w:w="7196" w:type="dxa"/>
          </w:tcPr>
          <w:p w:rsidR="0053055E" w:rsidRPr="003D692E" w:rsidRDefault="0053055E" w:rsidP="0053055E">
            <w:pPr>
              <w:rPr>
                <w:sz w:val="28"/>
              </w:rPr>
            </w:pPr>
            <w:r w:rsidRPr="003D692E">
              <w:rPr>
                <w:sz w:val="28"/>
              </w:rPr>
              <w:t>Председатель ЭГ</w:t>
            </w:r>
          </w:p>
          <w:p w:rsidR="0053055E" w:rsidRPr="003D692E" w:rsidRDefault="0053055E" w:rsidP="0053055E">
            <w:pPr>
              <w:rPr>
                <w:sz w:val="28"/>
              </w:rPr>
            </w:pPr>
          </w:p>
          <w:p w:rsidR="0053055E" w:rsidRPr="003D692E" w:rsidRDefault="0053055E" w:rsidP="0053055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53055E" w:rsidRPr="003D692E" w:rsidRDefault="0053055E" w:rsidP="0053055E">
            <w:pPr>
              <w:rPr>
                <w:sz w:val="28"/>
              </w:rPr>
            </w:pPr>
          </w:p>
        </w:tc>
      </w:tr>
      <w:tr w:rsidR="0053055E" w:rsidRPr="003D692E" w:rsidTr="00BB374B">
        <w:trPr>
          <w:trHeight w:val="784"/>
        </w:trPr>
        <w:tc>
          <w:tcPr>
            <w:tcW w:w="7196" w:type="dxa"/>
          </w:tcPr>
          <w:p w:rsidR="0053055E" w:rsidRPr="003D692E" w:rsidRDefault="0053055E" w:rsidP="0053055E">
            <w:pPr>
              <w:rPr>
                <w:sz w:val="28"/>
              </w:rPr>
            </w:pPr>
            <w:r w:rsidRPr="003D692E">
              <w:rPr>
                <w:sz w:val="28"/>
              </w:rPr>
              <w:t xml:space="preserve">Члены экспертной группы:                                                            </w:t>
            </w:r>
          </w:p>
          <w:p w:rsidR="0053055E" w:rsidRPr="003D692E" w:rsidRDefault="0053055E" w:rsidP="0053055E">
            <w:pPr>
              <w:rPr>
                <w:sz w:val="28"/>
              </w:rPr>
            </w:pPr>
          </w:p>
          <w:p w:rsidR="0053055E" w:rsidRPr="003D692E" w:rsidRDefault="0053055E" w:rsidP="0053055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53055E" w:rsidRPr="003D692E" w:rsidRDefault="0053055E" w:rsidP="0053055E">
            <w:pPr>
              <w:rPr>
                <w:sz w:val="28"/>
              </w:rPr>
            </w:pPr>
          </w:p>
          <w:p w:rsidR="0053055E" w:rsidRPr="003D692E" w:rsidRDefault="0053055E" w:rsidP="0053055E">
            <w:pPr>
              <w:rPr>
                <w:sz w:val="28"/>
              </w:rPr>
            </w:pPr>
          </w:p>
          <w:p w:rsidR="0053055E" w:rsidRPr="003D692E" w:rsidRDefault="0053055E" w:rsidP="0053055E">
            <w:pPr>
              <w:rPr>
                <w:sz w:val="28"/>
              </w:rPr>
            </w:pPr>
          </w:p>
          <w:p w:rsidR="0053055E" w:rsidRPr="003D692E" w:rsidRDefault="0053055E" w:rsidP="0053055E">
            <w:pPr>
              <w:rPr>
                <w:sz w:val="28"/>
              </w:rPr>
            </w:pPr>
          </w:p>
        </w:tc>
      </w:tr>
    </w:tbl>
    <w:p w:rsidR="00EF44CE" w:rsidRPr="003D692E" w:rsidRDefault="00EF44CE" w:rsidP="00EF44CE">
      <w:pPr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              </w:t>
      </w:r>
    </w:p>
    <w:p w:rsidR="0053055E" w:rsidRPr="003D692E" w:rsidRDefault="0053055E">
      <w:pPr>
        <w:spacing w:after="200" w:line="276" w:lineRule="auto"/>
        <w:rPr>
          <w:b/>
          <w:sz w:val="28"/>
          <w:szCs w:val="28"/>
          <w:u w:val="single"/>
        </w:rPr>
      </w:pPr>
    </w:p>
    <w:p w:rsidR="00EF44CE" w:rsidRPr="003D692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 w:rsidRPr="003D692E">
        <w:rPr>
          <w:b/>
          <w:sz w:val="28"/>
          <w:szCs w:val="28"/>
          <w:u w:val="single"/>
        </w:rPr>
        <w:t>Повестка дня</w:t>
      </w:r>
    </w:p>
    <w:p w:rsidR="00EF44CE" w:rsidRPr="003D692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3D692E" w:rsidRDefault="00EF44CE" w:rsidP="0053055E">
      <w:pPr>
        <w:pStyle w:val="11"/>
        <w:ind w:firstLine="709"/>
        <w:rPr>
          <w:szCs w:val="28"/>
        </w:rPr>
      </w:pPr>
      <w:r w:rsidRPr="003D692E">
        <w:rPr>
          <w:szCs w:val="28"/>
        </w:rPr>
        <w:t>1. Рассмотрение конкурсных</w:t>
      </w:r>
      <w:r w:rsidRPr="003D692E">
        <w:rPr>
          <w:b/>
          <w:i/>
          <w:szCs w:val="28"/>
        </w:rPr>
        <w:t xml:space="preserve"> </w:t>
      </w:r>
      <w:r w:rsidRPr="003D692E">
        <w:rPr>
          <w:szCs w:val="28"/>
        </w:rPr>
        <w:t xml:space="preserve">заявок, представленных для участия в  </w:t>
      </w:r>
      <w:r w:rsidR="0053055E" w:rsidRPr="003D692E">
        <w:rPr>
          <w:szCs w:val="28"/>
        </w:rPr>
        <w:t xml:space="preserve">открытом конкурсе </w:t>
      </w:r>
      <w:r w:rsidR="0053055E" w:rsidRPr="003D692E">
        <w:rPr>
          <w:rFonts w:eastAsia="MS Mincho"/>
          <w:szCs w:val="28"/>
        </w:rPr>
        <w:t xml:space="preserve">№ </w:t>
      </w:r>
      <w:r w:rsidR="0053055E" w:rsidRPr="003D692E">
        <w:rPr>
          <w:szCs w:val="28"/>
        </w:rPr>
        <w:t xml:space="preserve"> </w:t>
      </w:r>
      <w:r w:rsidR="0053055E" w:rsidRPr="003D692E">
        <w:rPr>
          <w:szCs w:val="28"/>
          <w:u w:val="single"/>
        </w:rPr>
        <w:t>ОК/474-АО ВРМ/2017</w:t>
      </w:r>
      <w:r w:rsidR="0053055E" w:rsidRPr="003D692E">
        <w:rPr>
          <w:szCs w:val="28"/>
        </w:rPr>
        <w:t xml:space="preserve"> </w:t>
      </w:r>
      <w:r w:rsidR="000A2AAC" w:rsidRPr="003D692E">
        <w:rPr>
          <w:szCs w:val="28"/>
        </w:rPr>
        <w:t xml:space="preserve">на право заключения </w:t>
      </w:r>
      <w:r w:rsidR="0053055E" w:rsidRPr="003D692E">
        <w:rPr>
          <w:szCs w:val="28"/>
        </w:rPr>
        <w:t xml:space="preserve">Договора поставки </w:t>
      </w:r>
      <w:r w:rsidR="0053055E" w:rsidRPr="003D692E">
        <w:rPr>
          <w:b/>
          <w:bCs/>
          <w:szCs w:val="28"/>
        </w:rPr>
        <w:t>цветного металлопроката</w:t>
      </w:r>
      <w:r w:rsidR="0053055E" w:rsidRPr="003D692E">
        <w:rPr>
          <w:b/>
          <w:szCs w:val="28"/>
        </w:rPr>
        <w:t xml:space="preserve"> </w:t>
      </w:r>
      <w:r w:rsidR="0053055E" w:rsidRPr="003D692E">
        <w:rPr>
          <w:szCs w:val="28"/>
        </w:rPr>
        <w:t>для нужд Тамбовского ВРЗ, Воронежского ВРЗ - филиалов АО «ВРМ», в 2017-2018 гг..</w:t>
      </w:r>
    </w:p>
    <w:p w:rsidR="00EF44CE" w:rsidRPr="003D692E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2. Оценка заявок участников </w:t>
      </w:r>
      <w:r w:rsidR="0053055E" w:rsidRPr="003D692E">
        <w:rPr>
          <w:sz w:val="28"/>
          <w:szCs w:val="28"/>
        </w:rPr>
        <w:t>от</w:t>
      </w:r>
      <w:r w:rsidR="00635D54" w:rsidRPr="003D692E">
        <w:rPr>
          <w:sz w:val="28"/>
          <w:szCs w:val="28"/>
        </w:rPr>
        <w:t>крытого</w:t>
      </w:r>
      <w:r w:rsidRPr="003D692E">
        <w:rPr>
          <w:sz w:val="28"/>
          <w:szCs w:val="28"/>
        </w:rPr>
        <w:t xml:space="preserve"> конкурса № </w:t>
      </w:r>
      <w:r w:rsidR="0053055E" w:rsidRPr="003D692E">
        <w:rPr>
          <w:sz w:val="28"/>
          <w:szCs w:val="28"/>
          <w:u w:val="single"/>
        </w:rPr>
        <w:t>ОК/474-АО ВРМ/2017</w:t>
      </w:r>
      <w:r w:rsidRPr="003D692E">
        <w:rPr>
          <w:color w:val="000000"/>
          <w:sz w:val="28"/>
          <w:szCs w:val="28"/>
        </w:rPr>
        <w:t>.</w:t>
      </w:r>
    </w:p>
    <w:p w:rsidR="00EF44CE" w:rsidRPr="003D692E" w:rsidRDefault="00EF44CE" w:rsidP="00EF44CE">
      <w:pPr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3D692E">
        <w:rPr>
          <w:sz w:val="28"/>
          <w:szCs w:val="28"/>
        </w:rPr>
        <w:t>от</w:t>
      </w:r>
      <w:r w:rsidR="00635D54" w:rsidRPr="003D692E">
        <w:rPr>
          <w:sz w:val="28"/>
          <w:szCs w:val="28"/>
        </w:rPr>
        <w:t>крытого</w:t>
      </w:r>
      <w:r w:rsidRPr="003D692E">
        <w:rPr>
          <w:sz w:val="28"/>
          <w:szCs w:val="28"/>
        </w:rPr>
        <w:t xml:space="preserve"> конкурса № </w:t>
      </w:r>
      <w:r w:rsidR="0053055E" w:rsidRPr="003D692E">
        <w:rPr>
          <w:sz w:val="28"/>
          <w:szCs w:val="28"/>
          <w:u w:val="single"/>
        </w:rPr>
        <w:t>ОК/474-АО ВРМ/2017</w:t>
      </w:r>
      <w:r w:rsidRPr="003D692E">
        <w:rPr>
          <w:sz w:val="28"/>
          <w:szCs w:val="28"/>
        </w:rPr>
        <w:t>.</w:t>
      </w:r>
    </w:p>
    <w:p w:rsidR="00EF44CE" w:rsidRPr="003D692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3D692E" w:rsidRDefault="00EF44CE" w:rsidP="00EF44CE">
      <w:pPr>
        <w:pStyle w:val="1"/>
        <w:tabs>
          <w:tab w:val="left" w:pos="720"/>
        </w:tabs>
        <w:jc w:val="center"/>
      </w:pPr>
      <w:r w:rsidRPr="003D692E">
        <w:t>По пункту 1 повестки дня</w:t>
      </w:r>
    </w:p>
    <w:p w:rsidR="00EF44CE" w:rsidRPr="003D692E" w:rsidRDefault="00EF44CE" w:rsidP="00EF44CE"/>
    <w:p w:rsidR="00EF44CE" w:rsidRPr="003D692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АО «ВРМ» проведен </w:t>
      </w:r>
      <w:r w:rsidR="006334E9" w:rsidRPr="003D692E">
        <w:rPr>
          <w:sz w:val="28"/>
          <w:szCs w:val="28"/>
        </w:rPr>
        <w:t>от</w:t>
      </w:r>
      <w:r w:rsidR="00A13030" w:rsidRPr="003D692E">
        <w:rPr>
          <w:sz w:val="28"/>
          <w:szCs w:val="28"/>
        </w:rPr>
        <w:t>крытый</w:t>
      </w:r>
      <w:r w:rsidRPr="003D692E">
        <w:rPr>
          <w:sz w:val="28"/>
          <w:szCs w:val="28"/>
        </w:rPr>
        <w:t xml:space="preserve"> конкурс</w:t>
      </w:r>
      <w:r w:rsidRPr="003D692E">
        <w:rPr>
          <w:b/>
          <w:i/>
          <w:sz w:val="28"/>
          <w:szCs w:val="28"/>
        </w:rPr>
        <w:t xml:space="preserve"> </w:t>
      </w:r>
      <w:r w:rsidRPr="003D692E">
        <w:rPr>
          <w:sz w:val="28"/>
          <w:szCs w:val="28"/>
        </w:rPr>
        <w:t>№</w:t>
      </w:r>
      <w:r w:rsidR="00A13030" w:rsidRPr="003D692E">
        <w:rPr>
          <w:sz w:val="28"/>
          <w:szCs w:val="28"/>
        </w:rPr>
        <w:t xml:space="preserve"> </w:t>
      </w:r>
      <w:r w:rsidR="0053055E" w:rsidRPr="003D692E">
        <w:rPr>
          <w:sz w:val="28"/>
          <w:szCs w:val="28"/>
          <w:u w:val="single"/>
        </w:rPr>
        <w:t>ОК/474-АО ВРМ/2017</w:t>
      </w:r>
      <w:r w:rsidRPr="003D692E">
        <w:rPr>
          <w:sz w:val="28"/>
          <w:szCs w:val="28"/>
        </w:rPr>
        <w:t>.</w:t>
      </w:r>
    </w:p>
    <w:p w:rsidR="0093203E" w:rsidRPr="003D692E" w:rsidRDefault="00EF44CE" w:rsidP="0093203E">
      <w:pPr>
        <w:pStyle w:val="11"/>
        <w:ind w:firstLine="709"/>
        <w:rPr>
          <w:szCs w:val="28"/>
        </w:rPr>
      </w:pPr>
      <w:r w:rsidRPr="003D692E">
        <w:t>К</w:t>
      </w:r>
      <w:r w:rsidRPr="003D692E">
        <w:rPr>
          <w:szCs w:val="28"/>
        </w:rPr>
        <w:t xml:space="preserve"> установленному в конкурсной документации сроку</w:t>
      </w:r>
      <w:r w:rsidR="0093203E" w:rsidRPr="003D692E">
        <w:rPr>
          <w:szCs w:val="28"/>
        </w:rPr>
        <w:t xml:space="preserve"> представлены заявки следующих претендентов:</w:t>
      </w:r>
    </w:p>
    <w:p w:rsidR="006334E9" w:rsidRPr="003D692E" w:rsidRDefault="006334E9" w:rsidP="006334E9">
      <w:pPr>
        <w:spacing w:before="120"/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>По лоту № 1:</w:t>
      </w:r>
    </w:p>
    <w:p w:rsidR="006334E9" w:rsidRPr="003D692E" w:rsidRDefault="006334E9" w:rsidP="006334E9">
      <w:pPr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>- заявок не представлено.</w:t>
      </w:r>
    </w:p>
    <w:p w:rsidR="006334E9" w:rsidRPr="003D692E" w:rsidRDefault="006334E9" w:rsidP="006334E9">
      <w:pPr>
        <w:spacing w:before="120"/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>По лоту № 2:</w:t>
      </w:r>
    </w:p>
    <w:p w:rsidR="006334E9" w:rsidRPr="003D692E" w:rsidRDefault="006334E9" w:rsidP="006334E9">
      <w:pPr>
        <w:numPr>
          <w:ilvl w:val="0"/>
          <w:numId w:val="5"/>
        </w:numPr>
        <w:spacing w:before="120"/>
        <w:contextualSpacing/>
        <w:jc w:val="both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>ООО ТК «Актимиста», г. Санкт-Петербург, ИНН: 7810406594.</w:t>
      </w:r>
    </w:p>
    <w:p w:rsidR="006334E9" w:rsidRPr="003D692E" w:rsidRDefault="006334E9" w:rsidP="006334E9">
      <w:pPr>
        <w:spacing w:before="120"/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>По лоту № 3:</w:t>
      </w:r>
    </w:p>
    <w:p w:rsidR="006334E9" w:rsidRPr="003D692E" w:rsidRDefault="006334E9" w:rsidP="006334E9">
      <w:pPr>
        <w:numPr>
          <w:ilvl w:val="0"/>
          <w:numId w:val="6"/>
        </w:numPr>
        <w:spacing w:before="120"/>
        <w:contextualSpacing/>
        <w:jc w:val="both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 xml:space="preserve">ООО «Ганза Трейдинг Групп», г. Москва, ИНН 7728367631; </w:t>
      </w:r>
    </w:p>
    <w:p w:rsidR="006334E9" w:rsidRPr="003D692E" w:rsidRDefault="006334E9" w:rsidP="006334E9">
      <w:pPr>
        <w:numPr>
          <w:ilvl w:val="0"/>
          <w:numId w:val="6"/>
        </w:numPr>
        <w:spacing w:before="120"/>
        <w:contextualSpacing/>
        <w:jc w:val="both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>ООО «Металлургическая компания «Ферро», г. Нижний Новгород, ИНН: 5258125067;</w:t>
      </w:r>
    </w:p>
    <w:p w:rsidR="006334E9" w:rsidRPr="003D692E" w:rsidRDefault="006334E9" w:rsidP="006334E9">
      <w:pPr>
        <w:numPr>
          <w:ilvl w:val="0"/>
          <w:numId w:val="6"/>
        </w:numPr>
        <w:spacing w:before="120"/>
        <w:contextualSpacing/>
        <w:jc w:val="both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>ООО «ОЛЛ-МЕТ НН», г. Нижний Новгород, ИНН: 5263126387;</w:t>
      </w:r>
    </w:p>
    <w:p w:rsidR="006334E9" w:rsidRPr="003D692E" w:rsidRDefault="006334E9" w:rsidP="006334E9">
      <w:pPr>
        <w:numPr>
          <w:ilvl w:val="0"/>
          <w:numId w:val="6"/>
        </w:numPr>
        <w:spacing w:before="120"/>
        <w:ind w:left="709" w:firstLine="0"/>
        <w:contextualSpacing/>
        <w:jc w:val="both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>ООО «Торгово-Промышленная Компания «Цезарь», г. Жуковский, ИНН: 7714350797.</w:t>
      </w:r>
    </w:p>
    <w:p w:rsidR="007C2E43" w:rsidRPr="003D692E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3D692E">
        <w:rPr>
          <w:sz w:val="28"/>
          <w:szCs w:val="28"/>
          <w:lang w:eastAsia="en-US"/>
        </w:rPr>
        <w:t>По итогам рассмотрения представленных заявок для участия в открытом конкурсе № </w:t>
      </w:r>
      <w:r w:rsidRPr="003D692E">
        <w:rPr>
          <w:sz w:val="28"/>
          <w:szCs w:val="28"/>
          <w:u w:val="single"/>
        </w:rPr>
        <w:t>ОК/474-АО ВРМ/2017</w:t>
      </w:r>
      <w:r w:rsidRPr="003D692E">
        <w:rPr>
          <w:sz w:val="28"/>
          <w:szCs w:val="28"/>
          <w:lang w:eastAsia="en-US"/>
        </w:rPr>
        <w:t xml:space="preserve"> в допуске к участию в открытом конкурсе отказано следующим претендентам:</w:t>
      </w:r>
    </w:p>
    <w:p w:rsidR="00717CB6" w:rsidRPr="003D692E" w:rsidRDefault="00717CB6" w:rsidP="00717CB6">
      <w:pPr>
        <w:pStyle w:val="a7"/>
        <w:numPr>
          <w:ilvl w:val="0"/>
          <w:numId w:val="11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3D692E">
        <w:rPr>
          <w:bCs/>
          <w:sz w:val="28"/>
          <w:szCs w:val="28"/>
        </w:rPr>
        <w:t xml:space="preserve">ООО «ОЛЛ-МЕТ НН», в связи с несоответствием обязательным требованиям, установленным     п. 2.1. раздела II конкурсной документации - </w:t>
      </w:r>
      <w:r w:rsidRPr="003D692E">
        <w:rPr>
          <w:sz w:val="28"/>
          <w:szCs w:val="28"/>
        </w:rPr>
        <w:t>не представлены документы, предусмотренные пунктом 2.3, п.п. 10 конкурсной документации.</w:t>
      </w:r>
    </w:p>
    <w:p w:rsidR="007C2E43" w:rsidRPr="003D692E" w:rsidRDefault="007C2E43" w:rsidP="00717CB6">
      <w:pPr>
        <w:pStyle w:val="a7"/>
        <w:numPr>
          <w:ilvl w:val="0"/>
          <w:numId w:val="11"/>
        </w:numPr>
        <w:spacing w:before="120"/>
        <w:ind w:left="0"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D692E">
        <w:rPr>
          <w:rFonts w:eastAsia="Calibri"/>
          <w:sz w:val="28"/>
          <w:szCs w:val="28"/>
          <w:lang w:eastAsia="en-US"/>
        </w:rPr>
        <w:t>ООО «Ганза Трейдинг Групп»</w:t>
      </w:r>
      <w:r w:rsidR="00717CB6" w:rsidRPr="003D692E">
        <w:rPr>
          <w:rFonts w:eastAsia="Calibri"/>
          <w:sz w:val="28"/>
          <w:szCs w:val="28"/>
          <w:lang w:eastAsia="en-US"/>
        </w:rPr>
        <w:t>,</w:t>
      </w:r>
      <w:r w:rsidRPr="003D692E">
        <w:rPr>
          <w:rFonts w:eastAsia="Calibri"/>
          <w:sz w:val="28"/>
          <w:szCs w:val="28"/>
          <w:lang w:eastAsia="en-US"/>
        </w:rPr>
        <w:t xml:space="preserve"> в связи с несоответствием квалификационным требованиям п. 2.4. конкурсной документации – не представлены документы в соответствии с требованиями п. 2.4</w:t>
      </w:r>
      <w:r w:rsidR="00717CB6" w:rsidRPr="003D692E">
        <w:rPr>
          <w:rFonts w:eastAsia="Calibri"/>
          <w:sz w:val="28"/>
          <w:szCs w:val="28"/>
          <w:lang w:eastAsia="en-US"/>
        </w:rPr>
        <w:t xml:space="preserve">, </w:t>
      </w:r>
      <w:r w:rsidR="00DF004A" w:rsidRPr="003D692E">
        <w:rPr>
          <w:rFonts w:eastAsia="Calibri"/>
          <w:sz w:val="28"/>
          <w:szCs w:val="28"/>
          <w:lang w:eastAsia="en-US"/>
        </w:rPr>
        <w:t>п.п. а), б) конкурсной документации.</w:t>
      </w:r>
    </w:p>
    <w:p w:rsidR="007C2E43" w:rsidRPr="003D692E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Pr="003D692E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>Д</w:t>
      </w:r>
      <w:r w:rsidR="00EF44CE" w:rsidRPr="003D692E">
        <w:rPr>
          <w:sz w:val="28"/>
          <w:szCs w:val="28"/>
        </w:rPr>
        <w:t xml:space="preserve">опускаются и признаются участниками </w:t>
      </w:r>
      <w:r w:rsidR="006334E9" w:rsidRPr="003D692E">
        <w:rPr>
          <w:sz w:val="28"/>
          <w:szCs w:val="28"/>
        </w:rPr>
        <w:t>от</w:t>
      </w:r>
      <w:r w:rsidR="00D214F4" w:rsidRPr="003D692E">
        <w:rPr>
          <w:sz w:val="28"/>
          <w:szCs w:val="28"/>
        </w:rPr>
        <w:t>крытого</w:t>
      </w:r>
      <w:r w:rsidR="00EF44CE" w:rsidRPr="003D692E">
        <w:rPr>
          <w:sz w:val="28"/>
          <w:szCs w:val="28"/>
        </w:rPr>
        <w:t xml:space="preserve"> конкурса </w:t>
      </w:r>
      <w:r w:rsidR="00D214F4" w:rsidRPr="003D692E">
        <w:rPr>
          <w:sz w:val="28"/>
          <w:szCs w:val="28"/>
        </w:rPr>
        <w:t xml:space="preserve">№ </w:t>
      </w:r>
      <w:r w:rsidR="006334E9" w:rsidRPr="003D692E">
        <w:rPr>
          <w:sz w:val="28"/>
          <w:szCs w:val="28"/>
          <w:u w:val="single"/>
        </w:rPr>
        <w:t xml:space="preserve">ОК/474-АО ВРМ/2017 </w:t>
      </w:r>
      <w:r w:rsidR="00EF44CE" w:rsidRPr="003D692E">
        <w:rPr>
          <w:sz w:val="28"/>
          <w:szCs w:val="28"/>
        </w:rPr>
        <w:t>следующи</w:t>
      </w:r>
      <w:r w:rsidR="0055266E" w:rsidRPr="003D692E">
        <w:rPr>
          <w:sz w:val="28"/>
          <w:szCs w:val="28"/>
        </w:rPr>
        <w:t>е</w:t>
      </w:r>
      <w:r w:rsidR="00EF44CE" w:rsidRPr="003D692E">
        <w:rPr>
          <w:sz w:val="28"/>
          <w:szCs w:val="28"/>
        </w:rPr>
        <w:t xml:space="preserve"> претенденты:</w:t>
      </w:r>
    </w:p>
    <w:p w:rsidR="00157E98" w:rsidRPr="003D692E" w:rsidRDefault="00EF44CE" w:rsidP="006334E9">
      <w:pPr>
        <w:spacing w:before="120"/>
        <w:ind w:firstLine="709"/>
        <w:outlineLvl w:val="0"/>
        <w:rPr>
          <w:sz w:val="28"/>
          <w:szCs w:val="28"/>
        </w:rPr>
      </w:pPr>
      <w:r w:rsidRPr="003D692E">
        <w:rPr>
          <w:sz w:val="28"/>
          <w:szCs w:val="28"/>
        </w:rPr>
        <w:t xml:space="preserve"> </w:t>
      </w:r>
      <w:r w:rsidR="00717CB6" w:rsidRPr="003D692E">
        <w:rPr>
          <w:sz w:val="28"/>
          <w:szCs w:val="28"/>
        </w:rPr>
        <w:t>По л</w:t>
      </w:r>
      <w:r w:rsidR="00157E98" w:rsidRPr="003D692E">
        <w:rPr>
          <w:sz w:val="28"/>
          <w:szCs w:val="28"/>
        </w:rPr>
        <w:t>от</w:t>
      </w:r>
      <w:r w:rsidR="00717CB6" w:rsidRPr="003D692E">
        <w:rPr>
          <w:sz w:val="28"/>
          <w:szCs w:val="28"/>
        </w:rPr>
        <w:t>у</w:t>
      </w:r>
      <w:r w:rsidR="00157E98" w:rsidRPr="003D692E">
        <w:rPr>
          <w:sz w:val="28"/>
          <w:szCs w:val="28"/>
        </w:rPr>
        <w:t xml:space="preserve"> №</w:t>
      </w:r>
      <w:r w:rsidR="006334E9" w:rsidRPr="003D692E">
        <w:rPr>
          <w:sz w:val="28"/>
          <w:szCs w:val="28"/>
        </w:rPr>
        <w:t xml:space="preserve"> 2</w:t>
      </w:r>
      <w:r w:rsidR="00157E98" w:rsidRPr="003D692E">
        <w:rPr>
          <w:sz w:val="28"/>
          <w:szCs w:val="28"/>
        </w:rPr>
        <w:t>:</w:t>
      </w:r>
    </w:p>
    <w:p w:rsidR="00157E98" w:rsidRPr="003D692E" w:rsidRDefault="00157E98" w:rsidP="006334E9">
      <w:pPr>
        <w:outlineLvl w:val="0"/>
        <w:rPr>
          <w:sz w:val="28"/>
          <w:szCs w:val="28"/>
        </w:rPr>
      </w:pPr>
      <w:r w:rsidRPr="003D692E">
        <w:rPr>
          <w:sz w:val="28"/>
          <w:szCs w:val="28"/>
        </w:rPr>
        <w:t xml:space="preserve">- </w:t>
      </w:r>
      <w:r w:rsidR="006334E9" w:rsidRPr="003D692E">
        <w:rPr>
          <w:sz w:val="28"/>
          <w:szCs w:val="28"/>
        </w:rPr>
        <w:t>ООО ТК «Актимиста»</w:t>
      </w:r>
    </w:p>
    <w:p w:rsidR="00157E98" w:rsidRPr="003D692E" w:rsidRDefault="00717CB6" w:rsidP="006334E9">
      <w:pPr>
        <w:pStyle w:val="a7"/>
        <w:spacing w:before="120"/>
        <w:ind w:left="0" w:firstLine="709"/>
        <w:outlineLvl w:val="2"/>
        <w:rPr>
          <w:sz w:val="28"/>
          <w:szCs w:val="28"/>
        </w:rPr>
      </w:pPr>
      <w:r w:rsidRPr="003D692E">
        <w:rPr>
          <w:sz w:val="28"/>
          <w:szCs w:val="28"/>
        </w:rPr>
        <w:t>По л</w:t>
      </w:r>
      <w:r w:rsidR="00157E98" w:rsidRPr="003D692E">
        <w:rPr>
          <w:sz w:val="28"/>
          <w:szCs w:val="28"/>
        </w:rPr>
        <w:t>от</w:t>
      </w:r>
      <w:r w:rsidRPr="003D692E">
        <w:rPr>
          <w:sz w:val="28"/>
          <w:szCs w:val="28"/>
        </w:rPr>
        <w:t>у</w:t>
      </w:r>
      <w:r w:rsidR="006334E9" w:rsidRPr="003D692E">
        <w:rPr>
          <w:sz w:val="28"/>
          <w:szCs w:val="28"/>
        </w:rPr>
        <w:t xml:space="preserve"> </w:t>
      </w:r>
      <w:r w:rsidR="00157E98" w:rsidRPr="003D692E">
        <w:rPr>
          <w:sz w:val="28"/>
          <w:szCs w:val="28"/>
        </w:rPr>
        <w:t>№</w:t>
      </w:r>
      <w:r w:rsidR="006334E9" w:rsidRPr="003D692E">
        <w:rPr>
          <w:sz w:val="28"/>
          <w:szCs w:val="28"/>
        </w:rPr>
        <w:t xml:space="preserve"> 3</w:t>
      </w:r>
      <w:r w:rsidR="00157E98" w:rsidRPr="003D692E">
        <w:rPr>
          <w:sz w:val="28"/>
          <w:szCs w:val="28"/>
        </w:rPr>
        <w:t>:</w:t>
      </w:r>
    </w:p>
    <w:p w:rsidR="006334E9" w:rsidRPr="003D692E" w:rsidRDefault="00157E98" w:rsidP="006334E9">
      <w:r w:rsidRPr="003D692E">
        <w:rPr>
          <w:sz w:val="28"/>
          <w:szCs w:val="28"/>
        </w:rPr>
        <w:t xml:space="preserve">- </w:t>
      </w:r>
      <w:r w:rsidR="006334E9" w:rsidRPr="003D692E">
        <w:rPr>
          <w:sz w:val="28"/>
          <w:szCs w:val="28"/>
        </w:rPr>
        <w:t>ООО «Металлургическая компания «Ферро»</w:t>
      </w:r>
    </w:p>
    <w:p w:rsidR="006334E9" w:rsidRPr="003D692E" w:rsidRDefault="006334E9" w:rsidP="006334E9">
      <w:pPr>
        <w:rPr>
          <w:sz w:val="28"/>
          <w:szCs w:val="28"/>
        </w:rPr>
      </w:pPr>
      <w:r w:rsidRPr="003D692E">
        <w:rPr>
          <w:sz w:val="28"/>
          <w:szCs w:val="28"/>
        </w:rPr>
        <w:t>- ООО «Торгово-Промышленная Компания «Цезарь»</w:t>
      </w:r>
    </w:p>
    <w:p w:rsidR="00EF44CE" w:rsidRPr="003D692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Pr="003D692E" w:rsidRDefault="00EF44CE" w:rsidP="00EF44CE">
      <w:pPr>
        <w:pStyle w:val="1"/>
        <w:tabs>
          <w:tab w:val="left" w:pos="720"/>
        </w:tabs>
        <w:jc w:val="center"/>
      </w:pPr>
      <w:r w:rsidRPr="003D692E">
        <w:t>По пункту 2 повестки дня</w:t>
      </w:r>
    </w:p>
    <w:p w:rsidR="00EF44CE" w:rsidRPr="003D692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3D692E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3D692E">
        <w:rPr>
          <w:sz w:val="28"/>
          <w:szCs w:val="28"/>
        </w:rPr>
        <w:t xml:space="preserve">В связи с тем, что </w:t>
      </w:r>
      <w:r w:rsidR="00083142" w:rsidRPr="003D692E">
        <w:rPr>
          <w:sz w:val="28"/>
          <w:szCs w:val="28"/>
        </w:rPr>
        <w:t xml:space="preserve">единственный претендент признан </w:t>
      </w:r>
      <w:r w:rsidRPr="003D692E">
        <w:rPr>
          <w:sz w:val="28"/>
          <w:szCs w:val="28"/>
        </w:rPr>
        <w:t xml:space="preserve">участником </w:t>
      </w:r>
      <w:r w:rsidR="00F05F45" w:rsidRPr="003D692E">
        <w:rPr>
          <w:sz w:val="28"/>
          <w:szCs w:val="28"/>
        </w:rPr>
        <w:t xml:space="preserve">открытого конкурса № </w:t>
      </w:r>
      <w:r w:rsidRPr="003D692E">
        <w:rPr>
          <w:sz w:val="28"/>
          <w:szCs w:val="28"/>
        </w:rPr>
        <w:t xml:space="preserve">ОК/474-АО ВРМ/2017 по лоту № </w:t>
      </w:r>
      <w:r w:rsidR="00F05F45" w:rsidRPr="003D692E">
        <w:rPr>
          <w:sz w:val="28"/>
          <w:szCs w:val="28"/>
        </w:rPr>
        <w:t>2</w:t>
      </w:r>
      <w:r w:rsidR="00083142" w:rsidRPr="003D692E">
        <w:rPr>
          <w:sz w:val="28"/>
          <w:szCs w:val="28"/>
        </w:rPr>
        <w:t>, балльная оценка</w:t>
      </w:r>
      <w:r w:rsidRPr="003D692E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D24995" w:rsidRPr="003D692E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3D692E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3D692E">
        <w:rPr>
          <w:iCs/>
          <w:sz w:val="28"/>
          <w:szCs w:val="28"/>
        </w:rPr>
        <w:t>№ </w:t>
      </w:r>
      <w:r w:rsidRPr="003D692E">
        <w:rPr>
          <w:sz w:val="28"/>
          <w:szCs w:val="28"/>
          <w:u w:val="single"/>
        </w:rPr>
        <w:t>ОК/474-АО ВРМ/2017</w:t>
      </w:r>
      <w:r w:rsidRPr="003D692E">
        <w:rPr>
          <w:iCs/>
          <w:sz w:val="28"/>
          <w:szCs w:val="28"/>
        </w:rPr>
        <w:t xml:space="preserve"> по лоту № 3.</w:t>
      </w:r>
      <w:r w:rsidRPr="003D692E">
        <w:rPr>
          <w:sz w:val="28"/>
          <w:szCs w:val="28"/>
        </w:rPr>
        <w:t xml:space="preserve"> </w:t>
      </w:r>
      <w:r w:rsidRPr="003D692E">
        <w:rPr>
          <w:sz w:val="28"/>
        </w:rPr>
        <w:t xml:space="preserve">Каждой конкурсной заявке присваивается балльная оценка. </w:t>
      </w:r>
    </w:p>
    <w:p w:rsidR="00EF44CE" w:rsidRPr="003D692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 w:rsidRPr="003D692E"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 w:rsidRPr="003D692E">
        <w:rPr>
          <w:b/>
        </w:rPr>
        <w:t xml:space="preserve"> </w:t>
      </w:r>
      <w:r w:rsidRPr="003D692E"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Pr="003D692E" w:rsidRDefault="00EF44CE" w:rsidP="00EF44CE">
      <w:pPr>
        <w:ind w:firstLine="708"/>
        <w:jc w:val="both"/>
        <w:rPr>
          <w:sz w:val="28"/>
        </w:rPr>
      </w:pPr>
      <w:r w:rsidRPr="003D692E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Pr="003D692E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1387"/>
        <w:gridCol w:w="3921"/>
        <w:gridCol w:w="3014"/>
      </w:tblGrid>
      <w:tr w:rsidR="006B626F" w:rsidRPr="003D692E" w:rsidTr="006334E9">
        <w:trPr>
          <w:trHeight w:val="285"/>
        </w:trPr>
        <w:tc>
          <w:tcPr>
            <w:tcW w:w="773" w:type="dxa"/>
          </w:tcPr>
          <w:p w:rsidR="006B626F" w:rsidRPr="003D692E" w:rsidRDefault="006B626F" w:rsidP="00845A7B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3D692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B626F" w:rsidRPr="003D692E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3D692E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921" w:type="dxa"/>
          </w:tcPr>
          <w:p w:rsidR="006B626F" w:rsidRPr="003D692E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3D692E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3014" w:type="dxa"/>
          </w:tcPr>
          <w:p w:rsidR="006B626F" w:rsidRPr="003D692E" w:rsidRDefault="006B626F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3D692E"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C271CD" w:rsidRPr="003D692E" w:rsidTr="00A94531">
        <w:trPr>
          <w:trHeight w:val="408"/>
        </w:trPr>
        <w:tc>
          <w:tcPr>
            <w:tcW w:w="773" w:type="dxa"/>
            <w:vMerge w:val="restart"/>
            <w:vAlign w:val="center"/>
          </w:tcPr>
          <w:p w:rsidR="00C271CD" w:rsidRPr="003D692E" w:rsidRDefault="00D24995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3D692E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C271CD" w:rsidRPr="003D692E" w:rsidRDefault="00C271CD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D692E">
              <w:rPr>
                <w:sz w:val="28"/>
                <w:szCs w:val="28"/>
              </w:rPr>
              <w:t>1</w:t>
            </w:r>
          </w:p>
        </w:tc>
        <w:tc>
          <w:tcPr>
            <w:tcW w:w="3921" w:type="dxa"/>
          </w:tcPr>
          <w:p w:rsidR="00C271CD" w:rsidRPr="003D692E" w:rsidRDefault="00A94531" w:rsidP="006334E9">
            <w:r w:rsidRPr="003D692E">
              <w:rPr>
                <w:sz w:val="28"/>
                <w:szCs w:val="28"/>
              </w:rPr>
              <w:t>ООО «Торгово-Промышленная Компания «Цезарь»</w:t>
            </w:r>
          </w:p>
        </w:tc>
        <w:tc>
          <w:tcPr>
            <w:tcW w:w="3014" w:type="dxa"/>
            <w:vAlign w:val="center"/>
          </w:tcPr>
          <w:p w:rsidR="00C271CD" w:rsidRPr="003D692E" w:rsidRDefault="00A94531" w:rsidP="00A94531">
            <w:pPr>
              <w:tabs>
                <w:tab w:val="left" w:pos="4860"/>
              </w:tabs>
              <w:jc w:val="center"/>
            </w:pPr>
            <w:r w:rsidRPr="003D692E">
              <w:t>93,24</w:t>
            </w:r>
          </w:p>
        </w:tc>
      </w:tr>
      <w:tr w:rsidR="00C271CD" w:rsidRPr="003D692E" w:rsidTr="006334E9">
        <w:trPr>
          <w:trHeight w:val="455"/>
        </w:trPr>
        <w:tc>
          <w:tcPr>
            <w:tcW w:w="773" w:type="dxa"/>
            <w:vMerge/>
          </w:tcPr>
          <w:p w:rsidR="00C271CD" w:rsidRPr="003D692E" w:rsidRDefault="00C271CD" w:rsidP="00845A7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271CD" w:rsidRPr="003D692E" w:rsidRDefault="00C271CD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D692E">
              <w:rPr>
                <w:sz w:val="28"/>
                <w:szCs w:val="28"/>
              </w:rPr>
              <w:t>2</w:t>
            </w:r>
          </w:p>
        </w:tc>
        <w:tc>
          <w:tcPr>
            <w:tcW w:w="3921" w:type="dxa"/>
          </w:tcPr>
          <w:p w:rsidR="00C271CD" w:rsidRPr="003D692E" w:rsidRDefault="00A94531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3D692E">
              <w:rPr>
                <w:sz w:val="28"/>
                <w:szCs w:val="28"/>
              </w:rPr>
              <w:t>ООО «Металлургическая компания «Ферро»</w:t>
            </w:r>
          </w:p>
        </w:tc>
        <w:tc>
          <w:tcPr>
            <w:tcW w:w="3014" w:type="dxa"/>
            <w:vAlign w:val="center"/>
          </w:tcPr>
          <w:p w:rsidR="00C271CD" w:rsidRPr="003D692E" w:rsidRDefault="00A94531" w:rsidP="00A94531">
            <w:pPr>
              <w:tabs>
                <w:tab w:val="left" w:pos="4860"/>
              </w:tabs>
              <w:jc w:val="center"/>
            </w:pPr>
            <w:r w:rsidRPr="003D692E">
              <w:t>77,80</w:t>
            </w:r>
          </w:p>
        </w:tc>
      </w:tr>
    </w:tbl>
    <w:p w:rsidR="00EF44CE" w:rsidRPr="003D692E" w:rsidRDefault="00EF44CE" w:rsidP="00EF44CE">
      <w:pPr>
        <w:ind w:left="720" w:right="-338"/>
        <w:outlineLvl w:val="0"/>
        <w:rPr>
          <w:i/>
          <w:sz w:val="28"/>
          <w:szCs w:val="28"/>
        </w:rPr>
      </w:pPr>
    </w:p>
    <w:p w:rsidR="00EF44CE" w:rsidRPr="003D692E" w:rsidRDefault="00EF44CE" w:rsidP="00EF44CE">
      <w:pPr>
        <w:pStyle w:val="1"/>
        <w:tabs>
          <w:tab w:val="left" w:pos="720"/>
        </w:tabs>
        <w:jc w:val="center"/>
      </w:pPr>
      <w:r w:rsidRPr="003D692E">
        <w:t>По пункту 3 повестки дня</w:t>
      </w:r>
    </w:p>
    <w:p w:rsidR="00EF44CE" w:rsidRPr="003D692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Pr="003D692E" w:rsidRDefault="00EF44CE" w:rsidP="00EF44CE">
      <w:pPr>
        <w:ind w:firstLine="709"/>
        <w:jc w:val="both"/>
        <w:rPr>
          <w:sz w:val="28"/>
          <w:szCs w:val="28"/>
        </w:rPr>
      </w:pPr>
      <w:r w:rsidRPr="003D692E"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</w:t>
      </w:r>
      <w:r w:rsidR="00077386" w:rsidRPr="003D692E">
        <w:rPr>
          <w:sz w:val="28"/>
          <w:szCs w:val="28"/>
        </w:rPr>
        <w:t>от</w:t>
      </w:r>
      <w:r w:rsidR="001D17B9" w:rsidRPr="003D692E">
        <w:rPr>
          <w:sz w:val="28"/>
          <w:szCs w:val="28"/>
        </w:rPr>
        <w:t>крытого</w:t>
      </w:r>
      <w:r w:rsidRPr="003D692E">
        <w:rPr>
          <w:sz w:val="28"/>
          <w:szCs w:val="28"/>
        </w:rPr>
        <w:t xml:space="preserve"> конкурса №</w:t>
      </w:r>
      <w:r w:rsidR="001759E9" w:rsidRPr="003D692E">
        <w:rPr>
          <w:sz w:val="28"/>
          <w:szCs w:val="28"/>
        </w:rPr>
        <w:t xml:space="preserve"> </w:t>
      </w:r>
      <w:r w:rsidR="00077386" w:rsidRPr="003D692E">
        <w:rPr>
          <w:sz w:val="28"/>
          <w:szCs w:val="28"/>
          <w:u w:val="single"/>
        </w:rPr>
        <w:t>ОК/474-АО ВРМ/2017</w:t>
      </w:r>
      <w:r w:rsidRPr="003D692E">
        <w:rPr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F463A3" w:rsidRPr="003D692E" w:rsidRDefault="00F463A3" w:rsidP="00C94427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3D692E">
        <w:rPr>
          <w:sz w:val="28"/>
          <w:szCs w:val="28"/>
        </w:rPr>
        <w:t>В</w:t>
      </w:r>
      <w:r w:rsidR="007C2E43" w:rsidRPr="003D692E">
        <w:rPr>
          <w:sz w:val="28"/>
          <w:szCs w:val="28"/>
        </w:rPr>
        <w:t xml:space="preserve"> связи с тем, что</w:t>
      </w:r>
      <w:r w:rsidR="007C2E43" w:rsidRPr="003D692E">
        <w:rPr>
          <w:b/>
          <w:i/>
          <w:sz w:val="28"/>
          <w:szCs w:val="28"/>
        </w:rPr>
        <w:t xml:space="preserve"> </w:t>
      </w:r>
      <w:r w:rsidR="007C2E43" w:rsidRPr="003D692E">
        <w:rPr>
          <w:sz w:val="28"/>
          <w:szCs w:val="28"/>
        </w:rPr>
        <w:t>единственный претендент</w:t>
      </w:r>
      <w:r w:rsidR="00E81075" w:rsidRPr="003D692E">
        <w:rPr>
          <w:sz w:val="28"/>
          <w:szCs w:val="28"/>
        </w:rPr>
        <w:t>,</w:t>
      </w:r>
      <w:r w:rsidR="007C2E43" w:rsidRPr="003D692E">
        <w:rPr>
          <w:sz w:val="28"/>
          <w:szCs w:val="28"/>
        </w:rPr>
        <w:t xml:space="preserve"> </w:t>
      </w:r>
      <w:r w:rsidR="00E81075" w:rsidRPr="003D692E">
        <w:rPr>
          <w:sz w:val="28"/>
          <w:szCs w:val="28"/>
        </w:rPr>
        <w:t>ООО ТК «Актимиста»,</w:t>
      </w:r>
      <w:r w:rsidR="00E81075" w:rsidRPr="003D692E">
        <w:rPr>
          <w:b/>
          <w:i/>
          <w:sz w:val="20"/>
          <w:szCs w:val="20"/>
        </w:rPr>
        <w:t xml:space="preserve"> </w:t>
      </w:r>
      <w:r w:rsidR="007C2E43" w:rsidRPr="003D692E">
        <w:rPr>
          <w:sz w:val="28"/>
          <w:szCs w:val="28"/>
        </w:rPr>
        <w:t xml:space="preserve">признан участником открытого конкурса </w:t>
      </w:r>
      <w:r w:rsidR="0027217B" w:rsidRPr="003D692E">
        <w:rPr>
          <w:sz w:val="28"/>
          <w:szCs w:val="28"/>
        </w:rPr>
        <w:t xml:space="preserve">№ </w:t>
      </w:r>
      <w:r w:rsidR="00DD2A95" w:rsidRPr="003D692E">
        <w:rPr>
          <w:sz w:val="28"/>
          <w:szCs w:val="28"/>
          <w:u w:val="single"/>
        </w:rPr>
        <w:t>ОК/474-АО ВРМ/2017</w:t>
      </w:r>
      <w:r w:rsidR="00EB77B5" w:rsidRPr="003D692E">
        <w:rPr>
          <w:sz w:val="28"/>
          <w:szCs w:val="28"/>
          <w:u w:val="single"/>
        </w:rPr>
        <w:t xml:space="preserve"> </w:t>
      </w:r>
      <w:r w:rsidR="00EB77B5" w:rsidRPr="003D692E">
        <w:rPr>
          <w:sz w:val="28"/>
          <w:szCs w:val="28"/>
        </w:rPr>
        <w:t>по лоту № 2</w:t>
      </w:r>
      <w:r w:rsidR="00DD2A95" w:rsidRPr="003D692E">
        <w:rPr>
          <w:sz w:val="28"/>
          <w:szCs w:val="28"/>
        </w:rPr>
        <w:t xml:space="preserve">, </w:t>
      </w:r>
      <w:r w:rsidR="007C2E43" w:rsidRPr="003D692E">
        <w:rPr>
          <w:sz w:val="28"/>
          <w:szCs w:val="28"/>
        </w:rPr>
        <w:t xml:space="preserve">признать открытый конкурс </w:t>
      </w:r>
      <w:r w:rsidR="0027217B" w:rsidRPr="003D692E">
        <w:rPr>
          <w:sz w:val="28"/>
          <w:szCs w:val="28"/>
        </w:rPr>
        <w:t xml:space="preserve">№ </w:t>
      </w:r>
      <w:r w:rsidR="00E81075" w:rsidRPr="003D692E">
        <w:rPr>
          <w:sz w:val="28"/>
          <w:szCs w:val="28"/>
          <w:u w:val="single"/>
        </w:rPr>
        <w:t>ОК/474-АО ВРМ/2017</w:t>
      </w:r>
      <w:r w:rsidR="00E81075" w:rsidRPr="003D692E">
        <w:rPr>
          <w:sz w:val="28"/>
          <w:szCs w:val="28"/>
        </w:rPr>
        <w:t xml:space="preserve"> </w:t>
      </w:r>
      <w:r w:rsidR="0027217B" w:rsidRPr="003D692E">
        <w:rPr>
          <w:sz w:val="28"/>
          <w:szCs w:val="28"/>
        </w:rPr>
        <w:t>по лоту № 2</w:t>
      </w:r>
      <w:r w:rsidR="0027217B" w:rsidRPr="003D692E">
        <w:rPr>
          <w:b/>
          <w:i/>
          <w:sz w:val="28"/>
          <w:szCs w:val="28"/>
        </w:rPr>
        <w:t xml:space="preserve"> </w:t>
      </w:r>
      <w:r w:rsidR="007C2E43" w:rsidRPr="003D692E">
        <w:rPr>
          <w:sz w:val="28"/>
          <w:szCs w:val="28"/>
        </w:rPr>
        <w:t>несостоявшимся</w:t>
      </w:r>
      <w:r w:rsidR="00FF557B" w:rsidRPr="003D692E">
        <w:rPr>
          <w:sz w:val="28"/>
          <w:szCs w:val="28"/>
        </w:rPr>
        <w:t xml:space="preserve"> и в соответствии с п. 2.9.10 конкурсной документации поручить Воронежскому ВВРЗ и Тамбовскому ВВРЗ в установленном порядке обеспечить заключение договора по лоту № 2 с ООО ТК «</w:t>
      </w:r>
      <w:proofErr w:type="spellStart"/>
      <w:r w:rsidR="00FF557B" w:rsidRPr="003D692E">
        <w:rPr>
          <w:sz w:val="28"/>
          <w:szCs w:val="28"/>
        </w:rPr>
        <w:t>Актимиста</w:t>
      </w:r>
      <w:proofErr w:type="spellEnd"/>
      <w:r w:rsidR="00FF557B" w:rsidRPr="003D692E">
        <w:rPr>
          <w:sz w:val="28"/>
          <w:szCs w:val="28"/>
        </w:rPr>
        <w:t>» со</w:t>
      </w:r>
      <w:proofErr w:type="gramEnd"/>
      <w:r w:rsidR="00FF557B" w:rsidRPr="003D692E">
        <w:rPr>
          <w:sz w:val="28"/>
          <w:szCs w:val="28"/>
        </w:rPr>
        <w:t xml:space="preserve"> стоимостью предложения 14 281 415 (четырнадцать миллионов двести восемьдесят </w:t>
      </w:r>
      <w:r w:rsidR="006560A1" w:rsidRPr="003D692E">
        <w:rPr>
          <w:sz w:val="28"/>
          <w:szCs w:val="28"/>
        </w:rPr>
        <w:t>одна тысяча четыреста пятнадцать) рублей 00 копеек</w:t>
      </w:r>
      <w:r w:rsidR="00124112" w:rsidRPr="003D692E">
        <w:rPr>
          <w:sz w:val="28"/>
          <w:szCs w:val="28"/>
        </w:rPr>
        <w:t>, без НДС.</w:t>
      </w:r>
    </w:p>
    <w:p w:rsidR="00F463A3" w:rsidRPr="003D692E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proofErr w:type="gramStart"/>
      <w:r w:rsidRPr="003D692E">
        <w:rPr>
          <w:sz w:val="28"/>
          <w:szCs w:val="28"/>
        </w:rPr>
        <w:t>Признать победителем от</w:t>
      </w:r>
      <w:r w:rsidR="0023503A" w:rsidRPr="003D692E">
        <w:rPr>
          <w:sz w:val="28"/>
          <w:szCs w:val="28"/>
        </w:rPr>
        <w:t xml:space="preserve">крытого конкурса </w:t>
      </w:r>
      <w:r w:rsidRPr="003D692E">
        <w:rPr>
          <w:sz w:val="28"/>
          <w:szCs w:val="28"/>
        </w:rPr>
        <w:t xml:space="preserve">№ </w:t>
      </w:r>
      <w:r w:rsidRPr="003D692E">
        <w:rPr>
          <w:sz w:val="28"/>
          <w:szCs w:val="28"/>
          <w:u w:val="single"/>
        </w:rPr>
        <w:t>ОК/474-АО ВРМ/2017</w:t>
      </w:r>
      <w:r w:rsidRPr="003D692E">
        <w:rPr>
          <w:sz w:val="28"/>
          <w:szCs w:val="28"/>
        </w:rPr>
        <w:t xml:space="preserve"> </w:t>
      </w:r>
      <w:r w:rsidR="0023503A" w:rsidRPr="003D692E">
        <w:rPr>
          <w:sz w:val="28"/>
          <w:szCs w:val="28"/>
        </w:rPr>
        <w:t xml:space="preserve"> по лоту № </w:t>
      </w:r>
      <w:r w:rsidRPr="003D692E">
        <w:rPr>
          <w:sz w:val="28"/>
          <w:szCs w:val="28"/>
        </w:rPr>
        <w:t>3</w:t>
      </w:r>
      <w:r w:rsidR="0023503A" w:rsidRPr="003D692E">
        <w:rPr>
          <w:sz w:val="28"/>
          <w:szCs w:val="28"/>
        </w:rPr>
        <w:t xml:space="preserve"> - </w:t>
      </w:r>
      <w:r w:rsidRPr="003D692E">
        <w:rPr>
          <w:sz w:val="28"/>
          <w:szCs w:val="28"/>
        </w:rPr>
        <w:t>ООО «Торгово-Промышленная Компания «Цезарь»</w:t>
      </w:r>
      <w:r w:rsidR="002A1AD1" w:rsidRPr="003D692E">
        <w:rPr>
          <w:sz w:val="28"/>
          <w:szCs w:val="28"/>
        </w:rPr>
        <w:t>,</w:t>
      </w:r>
      <w:r w:rsidR="0023503A" w:rsidRPr="003D692E">
        <w:rPr>
          <w:b/>
          <w:i/>
          <w:sz w:val="20"/>
          <w:szCs w:val="20"/>
        </w:rPr>
        <w:t xml:space="preserve"> </w:t>
      </w:r>
      <w:r w:rsidRPr="003D692E">
        <w:rPr>
          <w:sz w:val="28"/>
          <w:szCs w:val="28"/>
        </w:rPr>
        <w:t>получившее</w:t>
      </w:r>
      <w:r w:rsidR="0023503A" w:rsidRPr="003D692E">
        <w:rPr>
          <w:sz w:val="28"/>
          <w:szCs w:val="28"/>
        </w:rPr>
        <w:t xml:space="preserve"> максимальную балльную оценку </w:t>
      </w:r>
      <w:r w:rsidR="009A32A5" w:rsidRPr="003D692E">
        <w:rPr>
          <w:sz w:val="28"/>
          <w:szCs w:val="28"/>
        </w:rPr>
        <w:t xml:space="preserve">со стоимостью предложения </w:t>
      </w:r>
      <w:r w:rsidRPr="003D692E">
        <w:rPr>
          <w:sz w:val="28"/>
          <w:szCs w:val="28"/>
        </w:rPr>
        <w:t>34 385 334</w:t>
      </w:r>
      <w:r w:rsidR="009A32A5" w:rsidRPr="003D692E">
        <w:rPr>
          <w:sz w:val="28"/>
          <w:szCs w:val="28"/>
        </w:rPr>
        <w:t xml:space="preserve"> (</w:t>
      </w:r>
      <w:r w:rsidRPr="003D692E">
        <w:rPr>
          <w:sz w:val="28"/>
          <w:szCs w:val="28"/>
        </w:rPr>
        <w:t>тридцать четыре миллиона триста восемьдесят пять тыс</w:t>
      </w:r>
      <w:r w:rsidR="00F463A3" w:rsidRPr="003D692E">
        <w:rPr>
          <w:sz w:val="28"/>
          <w:szCs w:val="28"/>
        </w:rPr>
        <w:t>я</w:t>
      </w:r>
      <w:r w:rsidRPr="003D692E">
        <w:rPr>
          <w:sz w:val="28"/>
          <w:szCs w:val="28"/>
        </w:rPr>
        <w:t>ч триста тридцать четыре) рубля</w:t>
      </w:r>
      <w:r w:rsidR="00F463A3" w:rsidRPr="003D692E">
        <w:rPr>
          <w:sz w:val="28"/>
          <w:szCs w:val="28"/>
        </w:rPr>
        <w:t xml:space="preserve"> </w:t>
      </w:r>
      <w:r w:rsidR="009A32A5" w:rsidRPr="003D692E">
        <w:rPr>
          <w:sz w:val="28"/>
          <w:szCs w:val="28"/>
        </w:rPr>
        <w:t>00 копеек</w:t>
      </w:r>
      <w:r w:rsidRPr="003D692E">
        <w:rPr>
          <w:sz w:val="28"/>
          <w:szCs w:val="28"/>
        </w:rPr>
        <w:t>,</w:t>
      </w:r>
      <w:r w:rsidR="009A32A5" w:rsidRPr="003D692E">
        <w:rPr>
          <w:sz w:val="28"/>
          <w:szCs w:val="28"/>
        </w:rPr>
        <w:t xml:space="preserve"> без НДС, </w:t>
      </w:r>
      <w:r w:rsidRPr="003D692E">
        <w:rPr>
          <w:sz w:val="28"/>
          <w:szCs w:val="28"/>
        </w:rPr>
        <w:t xml:space="preserve">40 574 694 </w:t>
      </w:r>
      <w:r w:rsidR="009A32A5" w:rsidRPr="003D692E">
        <w:rPr>
          <w:sz w:val="28"/>
          <w:szCs w:val="28"/>
        </w:rPr>
        <w:t>(</w:t>
      </w:r>
      <w:r w:rsidRPr="003D692E">
        <w:rPr>
          <w:sz w:val="28"/>
          <w:szCs w:val="28"/>
        </w:rPr>
        <w:t>сорок</w:t>
      </w:r>
      <w:r w:rsidR="009A32A5" w:rsidRPr="003D692E">
        <w:rPr>
          <w:sz w:val="28"/>
          <w:szCs w:val="28"/>
        </w:rPr>
        <w:t xml:space="preserve"> миллион</w:t>
      </w:r>
      <w:r w:rsidR="0099448C" w:rsidRPr="003D692E">
        <w:rPr>
          <w:sz w:val="28"/>
          <w:szCs w:val="28"/>
        </w:rPr>
        <w:t>ов</w:t>
      </w:r>
      <w:r w:rsidR="009A32A5" w:rsidRPr="003D692E">
        <w:rPr>
          <w:sz w:val="28"/>
          <w:szCs w:val="28"/>
        </w:rPr>
        <w:t xml:space="preserve"> </w:t>
      </w:r>
      <w:r w:rsidRPr="003D692E">
        <w:rPr>
          <w:sz w:val="28"/>
          <w:szCs w:val="28"/>
        </w:rPr>
        <w:t>пять</w:t>
      </w:r>
      <w:r w:rsidR="009A32A5" w:rsidRPr="003D692E">
        <w:rPr>
          <w:sz w:val="28"/>
          <w:szCs w:val="28"/>
        </w:rPr>
        <w:t>с</w:t>
      </w:r>
      <w:r w:rsidRPr="003D692E">
        <w:rPr>
          <w:sz w:val="28"/>
          <w:szCs w:val="28"/>
        </w:rPr>
        <w:t>о</w:t>
      </w:r>
      <w:r w:rsidR="009A32A5" w:rsidRPr="003D692E">
        <w:rPr>
          <w:sz w:val="28"/>
          <w:szCs w:val="28"/>
        </w:rPr>
        <w:t xml:space="preserve">т </w:t>
      </w:r>
      <w:r w:rsidRPr="003D692E">
        <w:rPr>
          <w:sz w:val="28"/>
          <w:szCs w:val="28"/>
        </w:rPr>
        <w:t>сем</w:t>
      </w:r>
      <w:r w:rsidR="0099448C" w:rsidRPr="003D692E">
        <w:rPr>
          <w:sz w:val="28"/>
          <w:szCs w:val="28"/>
        </w:rPr>
        <w:t>ьдесят</w:t>
      </w:r>
      <w:r w:rsidR="009A32A5" w:rsidRPr="003D692E">
        <w:rPr>
          <w:sz w:val="28"/>
          <w:szCs w:val="28"/>
        </w:rPr>
        <w:t xml:space="preserve"> </w:t>
      </w:r>
      <w:r w:rsidRPr="003D692E">
        <w:rPr>
          <w:sz w:val="28"/>
          <w:szCs w:val="28"/>
        </w:rPr>
        <w:t xml:space="preserve">четыре </w:t>
      </w:r>
      <w:r w:rsidR="009A32A5" w:rsidRPr="003D692E">
        <w:rPr>
          <w:sz w:val="28"/>
          <w:szCs w:val="28"/>
        </w:rPr>
        <w:t>тысяч</w:t>
      </w:r>
      <w:r w:rsidRPr="003D692E">
        <w:rPr>
          <w:sz w:val="28"/>
          <w:szCs w:val="28"/>
        </w:rPr>
        <w:t>и</w:t>
      </w:r>
      <w:r w:rsidR="00FF557B" w:rsidRPr="003D692E">
        <w:rPr>
          <w:sz w:val="28"/>
          <w:szCs w:val="28"/>
        </w:rPr>
        <w:t xml:space="preserve"> шестьсот девяносто четыре</w:t>
      </w:r>
      <w:r w:rsidR="009A32A5" w:rsidRPr="003D692E">
        <w:rPr>
          <w:sz w:val="28"/>
          <w:szCs w:val="28"/>
        </w:rPr>
        <w:t>) рубл</w:t>
      </w:r>
      <w:r w:rsidR="00FF557B" w:rsidRPr="003D692E">
        <w:rPr>
          <w:sz w:val="28"/>
          <w:szCs w:val="28"/>
        </w:rPr>
        <w:t>я</w:t>
      </w:r>
      <w:r w:rsidR="009A32A5" w:rsidRPr="003D692E">
        <w:rPr>
          <w:sz w:val="28"/>
          <w:szCs w:val="28"/>
        </w:rPr>
        <w:t xml:space="preserve"> </w:t>
      </w:r>
      <w:r w:rsidRPr="003D692E">
        <w:rPr>
          <w:sz w:val="28"/>
          <w:szCs w:val="28"/>
        </w:rPr>
        <w:t>12</w:t>
      </w:r>
      <w:r w:rsidR="009A32A5" w:rsidRPr="003D692E">
        <w:rPr>
          <w:sz w:val="28"/>
          <w:szCs w:val="28"/>
        </w:rPr>
        <w:t xml:space="preserve"> копеек</w:t>
      </w:r>
      <w:r w:rsidRPr="003D692E">
        <w:rPr>
          <w:sz w:val="28"/>
          <w:szCs w:val="28"/>
        </w:rPr>
        <w:t>,</w:t>
      </w:r>
      <w:r w:rsidR="009A32A5" w:rsidRPr="003D692E">
        <w:rPr>
          <w:sz w:val="28"/>
          <w:szCs w:val="28"/>
        </w:rPr>
        <w:t xml:space="preserve"> с учетом НДС.</w:t>
      </w:r>
      <w:proofErr w:type="gramEnd"/>
    </w:p>
    <w:p w:rsidR="00F463A3" w:rsidRPr="003D692E" w:rsidRDefault="00F463A3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sz w:val="28"/>
          <w:szCs w:val="28"/>
        </w:rPr>
      </w:pPr>
      <w:r w:rsidRPr="003D692E">
        <w:rPr>
          <w:sz w:val="28"/>
          <w:szCs w:val="28"/>
        </w:rPr>
        <w:t>Поручить Воронежскому</w:t>
      </w:r>
      <w:r w:rsidR="003930CE" w:rsidRPr="003D692E">
        <w:rPr>
          <w:sz w:val="28"/>
          <w:szCs w:val="28"/>
        </w:rPr>
        <w:t xml:space="preserve"> </w:t>
      </w:r>
      <w:r w:rsidRPr="003D692E">
        <w:rPr>
          <w:sz w:val="28"/>
          <w:szCs w:val="28"/>
        </w:rPr>
        <w:t>ВРЗ</w:t>
      </w:r>
      <w:r w:rsidR="00124112" w:rsidRPr="003D692E">
        <w:rPr>
          <w:sz w:val="28"/>
          <w:szCs w:val="28"/>
        </w:rPr>
        <w:t xml:space="preserve"> и Тамбовскому ВРЗ </w:t>
      </w:r>
      <w:r w:rsidRPr="003D692E">
        <w:rPr>
          <w:sz w:val="28"/>
          <w:szCs w:val="28"/>
        </w:rPr>
        <w:t xml:space="preserve">в установленном    порядке обеспечить заключение договора </w:t>
      </w:r>
      <w:r w:rsidR="00124112" w:rsidRPr="003D692E">
        <w:rPr>
          <w:sz w:val="28"/>
          <w:szCs w:val="28"/>
        </w:rPr>
        <w:t xml:space="preserve"> по лоту № 3</w:t>
      </w:r>
      <w:r w:rsidR="003930CE" w:rsidRPr="003D692E">
        <w:rPr>
          <w:sz w:val="28"/>
          <w:szCs w:val="28"/>
        </w:rPr>
        <w:t xml:space="preserve"> </w:t>
      </w:r>
      <w:r w:rsidRPr="003D692E">
        <w:rPr>
          <w:sz w:val="28"/>
          <w:szCs w:val="28"/>
        </w:rPr>
        <w:t>с ООО «Торгово-Промышленная Компания «Цезарь»</w:t>
      </w:r>
      <w:r w:rsidR="003930CE" w:rsidRPr="003D692E">
        <w:rPr>
          <w:sz w:val="28"/>
          <w:szCs w:val="28"/>
        </w:rPr>
        <w:t xml:space="preserve"> по цене</w:t>
      </w:r>
      <w:r w:rsidR="00155932" w:rsidRPr="003D692E">
        <w:rPr>
          <w:sz w:val="28"/>
          <w:szCs w:val="28"/>
        </w:rPr>
        <w:t xml:space="preserve">, </w:t>
      </w:r>
      <w:r w:rsidR="003930CE" w:rsidRPr="003D692E">
        <w:rPr>
          <w:sz w:val="28"/>
          <w:szCs w:val="28"/>
        </w:rPr>
        <w:t xml:space="preserve">не превышающей его финансово – коммерческого предложения. </w:t>
      </w:r>
    </w:p>
    <w:p w:rsidR="00F463A3" w:rsidRPr="003D692E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B54D07" w:rsidP="009944DF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B54D07" w:rsidRDefault="00B54D07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B54D07" w:rsidRPr="003D692E" w:rsidRDefault="00B54D07" w:rsidP="009944DF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B54D07" w:rsidRPr="003D692E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2C" w:rsidRDefault="008A0E2C" w:rsidP="006B626F">
      <w:r>
        <w:separator/>
      </w:r>
    </w:p>
  </w:endnote>
  <w:endnote w:type="continuationSeparator" w:id="0">
    <w:p w:rsidR="008A0E2C" w:rsidRDefault="008A0E2C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2C" w:rsidRDefault="008A0E2C" w:rsidP="006B626F">
      <w:r>
        <w:separator/>
      </w:r>
    </w:p>
  </w:footnote>
  <w:footnote w:type="continuationSeparator" w:id="0">
    <w:p w:rsidR="008A0E2C" w:rsidRDefault="008A0E2C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47944"/>
    <w:rsid w:val="00155932"/>
    <w:rsid w:val="00157E98"/>
    <w:rsid w:val="00170E17"/>
    <w:rsid w:val="001759E9"/>
    <w:rsid w:val="001D17B9"/>
    <w:rsid w:val="001F5E1C"/>
    <w:rsid w:val="00230AD5"/>
    <w:rsid w:val="0023503A"/>
    <w:rsid w:val="0027217B"/>
    <w:rsid w:val="002A1AD1"/>
    <w:rsid w:val="002A1C4A"/>
    <w:rsid w:val="0031641E"/>
    <w:rsid w:val="00323B60"/>
    <w:rsid w:val="0034613B"/>
    <w:rsid w:val="003930CE"/>
    <w:rsid w:val="003D692E"/>
    <w:rsid w:val="003E3C72"/>
    <w:rsid w:val="00402F18"/>
    <w:rsid w:val="00411966"/>
    <w:rsid w:val="00415279"/>
    <w:rsid w:val="004613CD"/>
    <w:rsid w:val="004635C0"/>
    <w:rsid w:val="00485EC9"/>
    <w:rsid w:val="00493E1C"/>
    <w:rsid w:val="00515378"/>
    <w:rsid w:val="00523796"/>
    <w:rsid w:val="0053055E"/>
    <w:rsid w:val="0055266E"/>
    <w:rsid w:val="005A4084"/>
    <w:rsid w:val="005D4B54"/>
    <w:rsid w:val="006116D5"/>
    <w:rsid w:val="006334E9"/>
    <w:rsid w:val="00635D54"/>
    <w:rsid w:val="006560A1"/>
    <w:rsid w:val="00664B27"/>
    <w:rsid w:val="0067734D"/>
    <w:rsid w:val="006B626F"/>
    <w:rsid w:val="006B6739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9295D"/>
    <w:rsid w:val="008A0E2C"/>
    <w:rsid w:val="009108F8"/>
    <w:rsid w:val="00921DDB"/>
    <w:rsid w:val="00922608"/>
    <w:rsid w:val="0093203E"/>
    <w:rsid w:val="0099448C"/>
    <w:rsid w:val="009944DF"/>
    <w:rsid w:val="009951EB"/>
    <w:rsid w:val="009A32A5"/>
    <w:rsid w:val="009E0EDD"/>
    <w:rsid w:val="00A13030"/>
    <w:rsid w:val="00A130AC"/>
    <w:rsid w:val="00A21899"/>
    <w:rsid w:val="00A5487F"/>
    <w:rsid w:val="00A6507C"/>
    <w:rsid w:val="00A94531"/>
    <w:rsid w:val="00B22D63"/>
    <w:rsid w:val="00B237EF"/>
    <w:rsid w:val="00B3390A"/>
    <w:rsid w:val="00B53254"/>
    <w:rsid w:val="00B54D07"/>
    <w:rsid w:val="00B94228"/>
    <w:rsid w:val="00BB374B"/>
    <w:rsid w:val="00C0376E"/>
    <w:rsid w:val="00C271CD"/>
    <w:rsid w:val="00C276D7"/>
    <w:rsid w:val="00C97130"/>
    <w:rsid w:val="00CF5E88"/>
    <w:rsid w:val="00D214F4"/>
    <w:rsid w:val="00D24995"/>
    <w:rsid w:val="00D267F9"/>
    <w:rsid w:val="00D27B6A"/>
    <w:rsid w:val="00DD2A95"/>
    <w:rsid w:val="00DF004A"/>
    <w:rsid w:val="00DF2DB9"/>
    <w:rsid w:val="00E040A8"/>
    <w:rsid w:val="00E052A7"/>
    <w:rsid w:val="00E25F5A"/>
    <w:rsid w:val="00E81075"/>
    <w:rsid w:val="00EB7597"/>
    <w:rsid w:val="00EB77B5"/>
    <w:rsid w:val="00EE6BAD"/>
    <w:rsid w:val="00EF44CE"/>
    <w:rsid w:val="00F031B7"/>
    <w:rsid w:val="00F05F45"/>
    <w:rsid w:val="00F463A3"/>
    <w:rsid w:val="00F5255B"/>
    <w:rsid w:val="00F91E0C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B3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3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cp:lastPrinted>2017-05-12T09:10:00Z</cp:lastPrinted>
  <dcterms:created xsi:type="dcterms:W3CDTF">2017-05-12T11:59:00Z</dcterms:created>
  <dcterms:modified xsi:type="dcterms:W3CDTF">2017-05-12T12:07:00Z</dcterms:modified>
</cp:coreProperties>
</file>