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CF" w:rsidRDefault="009601CF" w:rsidP="009601CF">
      <w:pPr>
        <w:jc w:val="center"/>
        <w:rPr>
          <w:b/>
          <w:sz w:val="32"/>
          <w:szCs w:val="32"/>
        </w:rPr>
      </w:pPr>
      <w:r>
        <w:rPr>
          <w:b/>
          <w:sz w:val="32"/>
          <w:szCs w:val="32"/>
        </w:rPr>
        <w:t>Выписка из протокола № ОК/</w:t>
      </w:r>
      <w:r w:rsidR="00280ADC">
        <w:rPr>
          <w:b/>
          <w:sz w:val="32"/>
          <w:szCs w:val="32"/>
        </w:rPr>
        <w:t>5</w:t>
      </w:r>
      <w:r>
        <w:rPr>
          <w:b/>
          <w:sz w:val="32"/>
          <w:szCs w:val="32"/>
        </w:rPr>
        <w:t>-1</w:t>
      </w:r>
    </w:p>
    <w:p w:rsidR="009601CF" w:rsidRDefault="009601CF" w:rsidP="009601CF">
      <w:pPr>
        <w:jc w:val="center"/>
        <w:rPr>
          <w:b/>
          <w:sz w:val="32"/>
          <w:szCs w:val="32"/>
        </w:rPr>
      </w:pPr>
      <w:r>
        <w:rPr>
          <w:b/>
          <w:sz w:val="32"/>
          <w:szCs w:val="32"/>
        </w:rPr>
        <w:t xml:space="preserve">заседания экспертной группы </w:t>
      </w:r>
    </w:p>
    <w:p w:rsidR="009601CF" w:rsidRDefault="009601CF" w:rsidP="009601CF">
      <w:pPr>
        <w:jc w:val="center"/>
        <w:rPr>
          <w:b/>
          <w:sz w:val="32"/>
          <w:szCs w:val="32"/>
        </w:rPr>
      </w:pPr>
    </w:p>
    <w:p w:rsidR="00EE24E0" w:rsidRDefault="00EE24E0" w:rsidP="009601CF">
      <w:pPr>
        <w:jc w:val="center"/>
        <w:rPr>
          <w:b/>
          <w:sz w:val="32"/>
          <w:szCs w:val="32"/>
        </w:rPr>
      </w:pPr>
    </w:p>
    <w:p w:rsidR="009601CF" w:rsidRDefault="009601CF" w:rsidP="009601CF">
      <w:pPr>
        <w:tabs>
          <w:tab w:val="left" w:pos="3660"/>
        </w:tabs>
        <w:jc w:val="both"/>
        <w:rPr>
          <w:sz w:val="28"/>
          <w:szCs w:val="28"/>
        </w:rPr>
      </w:pPr>
      <w:r>
        <w:rPr>
          <w:sz w:val="28"/>
          <w:szCs w:val="28"/>
        </w:rPr>
        <w:tab/>
      </w:r>
    </w:p>
    <w:p w:rsidR="009601CF" w:rsidRDefault="009601CF" w:rsidP="009601CF">
      <w:pPr>
        <w:tabs>
          <w:tab w:val="left" w:pos="6663"/>
        </w:tabs>
        <w:jc w:val="both"/>
        <w:rPr>
          <w:sz w:val="28"/>
          <w:szCs w:val="28"/>
        </w:rPr>
      </w:pPr>
      <w:r>
        <w:rPr>
          <w:sz w:val="28"/>
          <w:szCs w:val="28"/>
        </w:rPr>
        <w:t>г. Воронеж</w:t>
      </w:r>
      <w:r>
        <w:rPr>
          <w:sz w:val="28"/>
          <w:szCs w:val="28"/>
        </w:rPr>
        <w:tab/>
        <w:t xml:space="preserve">   «</w:t>
      </w:r>
      <w:r w:rsidR="00EE24E0">
        <w:rPr>
          <w:sz w:val="28"/>
          <w:szCs w:val="28"/>
        </w:rPr>
        <w:t>19</w:t>
      </w:r>
      <w:r>
        <w:rPr>
          <w:sz w:val="28"/>
          <w:szCs w:val="28"/>
        </w:rPr>
        <w:t>»  апреля 2017 г.</w:t>
      </w:r>
    </w:p>
    <w:p w:rsidR="009601CF" w:rsidRDefault="009601CF" w:rsidP="009601CF">
      <w:pPr>
        <w:tabs>
          <w:tab w:val="left" w:pos="6663"/>
        </w:tabs>
        <w:jc w:val="both"/>
        <w:rPr>
          <w:sz w:val="28"/>
          <w:szCs w:val="28"/>
        </w:rPr>
      </w:pPr>
    </w:p>
    <w:p w:rsidR="009601CF" w:rsidRDefault="009601CF" w:rsidP="009601CF">
      <w:pPr>
        <w:spacing w:line="360" w:lineRule="auto"/>
        <w:rPr>
          <w:rFonts w:eastAsiaTheme="minorHAnsi"/>
          <w:sz w:val="28"/>
          <w:szCs w:val="28"/>
          <w:lang w:eastAsia="en-US"/>
        </w:rPr>
      </w:pPr>
      <w:r w:rsidRPr="009601CF">
        <w:rPr>
          <w:rFonts w:eastAsiaTheme="minorHAnsi"/>
          <w:sz w:val="28"/>
          <w:szCs w:val="28"/>
          <w:lang w:eastAsia="en-US"/>
        </w:rPr>
        <w:t>Члены Экспертной группы</w:t>
      </w:r>
    </w:p>
    <w:p w:rsidR="00EE24E0" w:rsidRDefault="00EE24E0" w:rsidP="009601CF">
      <w:pPr>
        <w:spacing w:line="360" w:lineRule="auto"/>
        <w:rPr>
          <w:sz w:val="28"/>
          <w:szCs w:val="28"/>
          <w:u w:val="single"/>
        </w:rPr>
      </w:pPr>
    </w:p>
    <w:p w:rsidR="009601CF" w:rsidRDefault="009601CF" w:rsidP="009601CF">
      <w:pPr>
        <w:jc w:val="center"/>
        <w:outlineLvl w:val="0"/>
        <w:rPr>
          <w:b/>
          <w:sz w:val="28"/>
          <w:szCs w:val="28"/>
          <w:u w:val="single"/>
        </w:rPr>
      </w:pPr>
      <w:r w:rsidRPr="00920A5A">
        <w:rPr>
          <w:b/>
          <w:sz w:val="28"/>
          <w:szCs w:val="28"/>
          <w:u w:val="single"/>
        </w:rPr>
        <w:t>Повестка дня</w:t>
      </w:r>
    </w:p>
    <w:p w:rsidR="009601CF" w:rsidRDefault="009601CF" w:rsidP="009601CF">
      <w:pPr>
        <w:jc w:val="center"/>
        <w:outlineLvl w:val="0"/>
        <w:rPr>
          <w:b/>
          <w:sz w:val="28"/>
          <w:szCs w:val="28"/>
          <w:u w:val="single"/>
        </w:rPr>
      </w:pPr>
    </w:p>
    <w:p w:rsidR="00EE24E0" w:rsidRPr="00754B22" w:rsidRDefault="009601CF" w:rsidP="00EE24E0">
      <w:pPr>
        <w:pStyle w:val="11"/>
        <w:ind w:firstLine="709"/>
        <w:rPr>
          <w:rFonts w:ascii="Times New Roman" w:hAnsi="Times New Roman" w:cs="Times New Roman"/>
        </w:rPr>
      </w:pPr>
      <w:r w:rsidRPr="00FA77AC">
        <w:rPr>
          <w:rFonts w:ascii="Times New Roman" w:hAnsi="Times New Roman" w:cs="Times New Roman"/>
        </w:rPr>
        <w:t xml:space="preserve">1. </w:t>
      </w:r>
      <w:r w:rsidR="00EE24E0" w:rsidRPr="00FA77AC">
        <w:rPr>
          <w:rFonts w:ascii="Times New Roman" w:hAnsi="Times New Roman" w:cs="Times New Roman"/>
        </w:rPr>
        <w:t>Рассмотрение конкурсных заявок, представленных для участия в  открытом конкурсе №</w:t>
      </w:r>
      <w:r w:rsidR="00EE24E0">
        <w:rPr>
          <w:rFonts w:ascii="Times New Roman" w:hAnsi="Times New Roman" w:cs="Times New Roman"/>
        </w:rPr>
        <w:t xml:space="preserve"> ОК/</w:t>
      </w:r>
      <w:r w:rsidR="00280ADC">
        <w:rPr>
          <w:rFonts w:ascii="Times New Roman" w:hAnsi="Times New Roman" w:cs="Times New Roman"/>
        </w:rPr>
        <w:t>5</w:t>
      </w:r>
      <w:r w:rsidR="00EE24E0">
        <w:rPr>
          <w:rFonts w:ascii="Times New Roman" w:hAnsi="Times New Roman" w:cs="Times New Roman"/>
        </w:rPr>
        <w:t>-ВВРЗ/</w:t>
      </w:r>
      <w:r w:rsidR="00EE24E0" w:rsidRPr="001D09D7">
        <w:rPr>
          <w:rFonts w:ascii="Times New Roman" w:hAnsi="Times New Roman" w:cs="Times New Roman"/>
        </w:rPr>
        <w:t>201</w:t>
      </w:r>
      <w:r w:rsidR="00EE24E0">
        <w:rPr>
          <w:rFonts w:ascii="Times New Roman" w:hAnsi="Times New Roman" w:cs="Times New Roman"/>
        </w:rPr>
        <w:t>7</w:t>
      </w:r>
      <w:r w:rsidR="00EE24E0" w:rsidRPr="001D09D7">
        <w:rPr>
          <w:rFonts w:ascii="Times New Roman" w:hAnsi="Times New Roman" w:cs="Times New Roman"/>
        </w:rPr>
        <w:t xml:space="preserve"> </w:t>
      </w:r>
      <w:r w:rsidR="00EE24E0" w:rsidRPr="001D09D7">
        <w:rPr>
          <w:rFonts w:ascii="Times New Roman" w:hAnsi="Times New Roman" w:cs="Times New Roman"/>
          <w:szCs w:val="28"/>
        </w:rPr>
        <w:t xml:space="preserve"> на право заключения </w:t>
      </w:r>
      <w:proofErr w:type="gramStart"/>
      <w:r w:rsidR="00EE24E0" w:rsidRPr="001D09D7">
        <w:rPr>
          <w:rFonts w:ascii="Times New Roman" w:hAnsi="Times New Roman" w:cs="Times New Roman"/>
          <w:szCs w:val="28"/>
        </w:rPr>
        <w:t>договора</w:t>
      </w:r>
      <w:proofErr w:type="gramEnd"/>
      <w:r w:rsidR="00EE24E0" w:rsidRPr="001D09D7">
        <w:rPr>
          <w:rFonts w:ascii="Times New Roman" w:hAnsi="Times New Roman" w:cs="Times New Roman"/>
          <w:szCs w:val="28"/>
        </w:rPr>
        <w:t xml:space="preserve"> на </w:t>
      </w:r>
      <w:r w:rsidR="00280ADC" w:rsidRPr="00280ADC">
        <w:rPr>
          <w:rFonts w:ascii="Times New Roman" w:hAnsi="Times New Roman" w:cs="Times New Roman"/>
          <w:szCs w:val="28"/>
        </w:rPr>
        <w:t>выполнение работ  по капитальному ремонту  наружных тепловых сетей (инв. № 6576) по территории завода,  находящихся на балансе  Воронежского ВРЗ АО «ВРМ» в 2017 году</w:t>
      </w:r>
      <w:r w:rsidR="00EE24E0" w:rsidRPr="00280ADC">
        <w:rPr>
          <w:rFonts w:ascii="Times New Roman" w:hAnsi="Times New Roman" w:cs="Times New Roman"/>
        </w:rPr>
        <w:t>.</w:t>
      </w:r>
    </w:p>
    <w:p w:rsidR="00EE24E0" w:rsidRDefault="00EE24E0" w:rsidP="00EE24E0">
      <w:pPr>
        <w:pStyle w:val="3"/>
        <w:ind w:firstLine="0"/>
      </w:pPr>
      <w:r>
        <w:t xml:space="preserve">          2. </w:t>
      </w:r>
      <w:r w:rsidRPr="00856AD7">
        <w:rPr>
          <w:szCs w:val="28"/>
        </w:rPr>
        <w:t>Оценка заявок участников открытого конкурса №</w:t>
      </w:r>
      <w:r w:rsidRPr="00E23730">
        <w:t xml:space="preserve"> </w:t>
      </w:r>
      <w:r>
        <w:t>ОК/</w:t>
      </w:r>
      <w:r w:rsidR="00280ADC">
        <w:t>5</w:t>
      </w:r>
      <w:r>
        <w:t>-ВВРЗ/2017.</w:t>
      </w:r>
    </w:p>
    <w:p w:rsidR="00EE24E0" w:rsidRPr="00491EF4" w:rsidRDefault="00EE24E0" w:rsidP="00EE24E0">
      <w:pPr>
        <w:pStyle w:val="3"/>
        <w:tabs>
          <w:tab w:val="left" w:pos="851"/>
        </w:tabs>
        <w:ind w:firstLine="709"/>
        <w:rPr>
          <w:szCs w:val="28"/>
        </w:rPr>
      </w:pPr>
      <w:r>
        <w:t xml:space="preserve">3. </w:t>
      </w:r>
      <w:r w:rsidRPr="002C3204">
        <w:t xml:space="preserve">Подготовка </w:t>
      </w:r>
      <w:r>
        <w:t xml:space="preserve"> </w:t>
      </w:r>
      <w:r w:rsidRPr="002C3204">
        <w:t xml:space="preserve">предложений в </w:t>
      </w:r>
      <w:r w:rsidRPr="004F3324">
        <w:t>Конкурсную комиссию</w:t>
      </w:r>
      <w:r>
        <w:t xml:space="preserve"> </w:t>
      </w:r>
      <w:r>
        <w:rPr>
          <w:szCs w:val="28"/>
        </w:rPr>
        <w:t>Воронежского ВРЗ</w:t>
      </w:r>
      <w:r w:rsidRPr="00D71286">
        <w:rPr>
          <w:szCs w:val="28"/>
        </w:rPr>
        <w:t xml:space="preserve"> АО «В</w:t>
      </w:r>
      <w:r>
        <w:rPr>
          <w:szCs w:val="28"/>
        </w:rPr>
        <w:t>РМ»</w:t>
      </w:r>
      <w:r>
        <w:t xml:space="preserve"> </w:t>
      </w:r>
      <w:r w:rsidRPr="00C10636">
        <w:t>по итогам открытого конкурса № </w:t>
      </w:r>
      <w:r>
        <w:t>ОК/</w:t>
      </w:r>
      <w:r w:rsidR="00280ADC">
        <w:t>5</w:t>
      </w:r>
      <w:r>
        <w:t>-ВВРЗ/2017.</w:t>
      </w:r>
    </w:p>
    <w:p w:rsidR="009601CF" w:rsidRDefault="009601CF" w:rsidP="00EE24E0">
      <w:pPr>
        <w:pStyle w:val="11"/>
        <w:ind w:firstLine="709"/>
      </w:pPr>
    </w:p>
    <w:p w:rsidR="009601CF" w:rsidRDefault="009601CF" w:rsidP="009601CF">
      <w:pPr>
        <w:pStyle w:val="1"/>
        <w:tabs>
          <w:tab w:val="clear" w:pos="3630"/>
          <w:tab w:val="left" w:pos="720"/>
        </w:tabs>
        <w:jc w:val="center"/>
      </w:pPr>
      <w:r w:rsidRPr="002C3204">
        <w:t>По пункту 1 повестки дня</w:t>
      </w:r>
    </w:p>
    <w:tbl>
      <w:tblPr>
        <w:tblW w:w="12758" w:type="dxa"/>
        <w:tblLook w:val="01E0"/>
      </w:tblPr>
      <w:tblGrid>
        <w:gridCol w:w="9901"/>
        <w:gridCol w:w="2857"/>
      </w:tblGrid>
      <w:tr w:rsidR="009601CF" w:rsidRPr="002F46A2" w:rsidTr="00D87E1A">
        <w:tc>
          <w:tcPr>
            <w:tcW w:w="9901" w:type="dxa"/>
          </w:tcPr>
          <w:p w:rsidR="00280ADC" w:rsidRPr="00FA77AC" w:rsidRDefault="00280ADC" w:rsidP="00280ADC">
            <w:pPr>
              <w:numPr>
                <w:ilvl w:val="1"/>
                <w:numId w:val="1"/>
              </w:numPr>
              <w:ind w:left="0" w:firstLine="720"/>
              <w:jc w:val="both"/>
              <w:rPr>
                <w:sz w:val="28"/>
                <w:szCs w:val="28"/>
              </w:rPr>
            </w:pPr>
            <w:r w:rsidRPr="00F73FBA">
              <w:rPr>
                <w:sz w:val="28"/>
                <w:szCs w:val="28"/>
              </w:rPr>
              <w:t>Воронежск</w:t>
            </w:r>
            <w:r>
              <w:rPr>
                <w:sz w:val="28"/>
                <w:szCs w:val="28"/>
              </w:rPr>
              <w:t>им</w:t>
            </w:r>
            <w:r w:rsidRPr="00F73FBA">
              <w:rPr>
                <w:sz w:val="28"/>
                <w:szCs w:val="28"/>
              </w:rPr>
              <w:t xml:space="preserve"> </w:t>
            </w:r>
            <w:r>
              <w:rPr>
                <w:sz w:val="28"/>
                <w:szCs w:val="28"/>
              </w:rPr>
              <w:t>ВРЗ</w:t>
            </w:r>
            <w:r w:rsidRPr="00F73FBA">
              <w:rPr>
                <w:sz w:val="28"/>
                <w:szCs w:val="28"/>
              </w:rPr>
              <w:t xml:space="preserve"> АО «В</w:t>
            </w:r>
            <w:r>
              <w:rPr>
                <w:sz w:val="28"/>
                <w:szCs w:val="28"/>
              </w:rPr>
              <w:t>РМ</w:t>
            </w:r>
            <w:r w:rsidRPr="00F73FBA">
              <w:rPr>
                <w:sz w:val="28"/>
                <w:szCs w:val="28"/>
              </w:rPr>
              <w:t>»</w:t>
            </w:r>
            <w:r>
              <w:rPr>
                <w:sz w:val="28"/>
                <w:szCs w:val="28"/>
              </w:rPr>
              <w:t xml:space="preserve"> </w:t>
            </w:r>
            <w:r w:rsidRPr="002C3204">
              <w:rPr>
                <w:sz w:val="28"/>
                <w:szCs w:val="28"/>
              </w:rPr>
              <w:t xml:space="preserve">проведен </w:t>
            </w:r>
            <w:r w:rsidRPr="00C97F1C">
              <w:rPr>
                <w:sz w:val="28"/>
                <w:szCs w:val="28"/>
              </w:rPr>
              <w:t xml:space="preserve">открытый </w:t>
            </w:r>
            <w:r>
              <w:rPr>
                <w:sz w:val="28"/>
                <w:szCs w:val="28"/>
              </w:rPr>
              <w:t xml:space="preserve">конкурс </w:t>
            </w:r>
            <w:r w:rsidRPr="00C10636">
              <w:rPr>
                <w:sz w:val="28"/>
                <w:szCs w:val="28"/>
              </w:rPr>
              <w:t>№ </w:t>
            </w:r>
            <w:r w:rsidRPr="00FA77AC">
              <w:rPr>
                <w:sz w:val="28"/>
                <w:szCs w:val="28"/>
              </w:rPr>
              <w:t>ОК/</w:t>
            </w:r>
            <w:r>
              <w:rPr>
                <w:sz w:val="28"/>
                <w:szCs w:val="28"/>
              </w:rPr>
              <w:t>5</w:t>
            </w:r>
            <w:r w:rsidRPr="00FA77AC">
              <w:rPr>
                <w:sz w:val="28"/>
                <w:szCs w:val="28"/>
              </w:rPr>
              <w:t>-ВВРЗ/201</w:t>
            </w:r>
            <w:r>
              <w:rPr>
                <w:sz w:val="28"/>
                <w:szCs w:val="28"/>
              </w:rPr>
              <w:t>7</w:t>
            </w:r>
            <w:r w:rsidRPr="00FA77AC">
              <w:rPr>
                <w:sz w:val="28"/>
                <w:szCs w:val="28"/>
              </w:rPr>
              <w:t>.</w:t>
            </w:r>
          </w:p>
          <w:p w:rsidR="00280ADC" w:rsidRPr="006C2588" w:rsidRDefault="00280ADC" w:rsidP="00280ADC">
            <w:pPr>
              <w:spacing w:line="276" w:lineRule="auto"/>
              <w:ind w:firstLine="720"/>
              <w:jc w:val="both"/>
              <w:rPr>
                <w:sz w:val="28"/>
                <w:szCs w:val="28"/>
                <w:lang w:eastAsia="en-US"/>
              </w:rPr>
            </w:pPr>
            <w:r w:rsidRPr="006C2588">
              <w:rPr>
                <w:sz w:val="28"/>
                <w:lang w:eastAsia="en-US"/>
              </w:rPr>
              <w:t>К</w:t>
            </w:r>
            <w:r w:rsidRPr="006C2588">
              <w:rPr>
                <w:sz w:val="28"/>
                <w:szCs w:val="28"/>
                <w:lang w:eastAsia="en-US"/>
              </w:rPr>
              <w:t xml:space="preserve"> установленному в конкурсной документации сроку поступило 3 (три) заявки:</w:t>
            </w:r>
          </w:p>
          <w:p w:rsidR="00280ADC" w:rsidRPr="006C2588" w:rsidRDefault="00280ADC" w:rsidP="00280ADC">
            <w:pPr>
              <w:pStyle w:val="11"/>
              <w:rPr>
                <w:rFonts w:ascii="Times New Roman" w:hAnsi="Times New Roman" w:cs="Times New Roman"/>
                <w:szCs w:val="28"/>
              </w:rPr>
            </w:pPr>
            <w:r w:rsidRPr="006C2588">
              <w:rPr>
                <w:rFonts w:ascii="Times New Roman" w:hAnsi="Times New Roman" w:cs="Times New Roman"/>
                <w:szCs w:val="28"/>
              </w:rPr>
              <w:t>1. ООО «ЛК-Строй»;</w:t>
            </w:r>
          </w:p>
          <w:p w:rsidR="00280ADC" w:rsidRPr="006C2588" w:rsidRDefault="00280ADC" w:rsidP="00280ADC">
            <w:pPr>
              <w:spacing w:line="276" w:lineRule="auto"/>
              <w:ind w:firstLine="709"/>
              <w:jc w:val="both"/>
              <w:rPr>
                <w:sz w:val="28"/>
                <w:szCs w:val="28"/>
              </w:rPr>
            </w:pPr>
            <w:r w:rsidRPr="006C2588">
              <w:rPr>
                <w:sz w:val="28"/>
                <w:szCs w:val="28"/>
              </w:rPr>
              <w:t>2. ООО «</w:t>
            </w:r>
            <w:proofErr w:type="spellStart"/>
            <w:r w:rsidRPr="006C2588">
              <w:rPr>
                <w:sz w:val="28"/>
                <w:szCs w:val="28"/>
              </w:rPr>
              <w:t>СпецСтрой</w:t>
            </w:r>
            <w:proofErr w:type="spellEnd"/>
            <w:r w:rsidRPr="006C2588">
              <w:rPr>
                <w:sz w:val="28"/>
                <w:szCs w:val="28"/>
              </w:rPr>
              <w:t>»;</w:t>
            </w:r>
          </w:p>
          <w:p w:rsidR="00280ADC" w:rsidRPr="006C2588" w:rsidRDefault="00280ADC" w:rsidP="00280ADC">
            <w:pPr>
              <w:spacing w:line="276" w:lineRule="auto"/>
              <w:ind w:firstLine="709"/>
              <w:jc w:val="both"/>
              <w:rPr>
                <w:sz w:val="28"/>
                <w:szCs w:val="28"/>
                <w:lang w:eastAsia="en-US"/>
              </w:rPr>
            </w:pPr>
            <w:r w:rsidRPr="006C2588">
              <w:rPr>
                <w:sz w:val="28"/>
                <w:szCs w:val="28"/>
              </w:rPr>
              <w:t>3. ООО Производственная база «ЖКХ».</w:t>
            </w:r>
          </w:p>
          <w:p w:rsidR="00280ADC" w:rsidRPr="006C2588" w:rsidRDefault="00280ADC" w:rsidP="00280ADC">
            <w:pPr>
              <w:numPr>
                <w:ilvl w:val="1"/>
                <w:numId w:val="1"/>
              </w:numPr>
              <w:ind w:left="0" w:firstLine="698"/>
              <w:jc w:val="both"/>
              <w:rPr>
                <w:sz w:val="28"/>
                <w:szCs w:val="28"/>
              </w:rPr>
            </w:pPr>
            <w:r w:rsidRPr="006C2588">
              <w:rPr>
                <w:sz w:val="28"/>
                <w:szCs w:val="28"/>
              </w:rPr>
              <w:t>По итогам рассмотрения представленных заявок для участия в открытом конкурсе № ОК/5-ВВРЗ/2017:</w:t>
            </w:r>
          </w:p>
          <w:p w:rsidR="00280ADC" w:rsidRPr="006C2588" w:rsidRDefault="00280ADC" w:rsidP="00280ADC">
            <w:pPr>
              <w:pStyle w:val="a4"/>
              <w:numPr>
                <w:ilvl w:val="0"/>
                <w:numId w:val="2"/>
              </w:numPr>
              <w:jc w:val="both"/>
              <w:rPr>
                <w:sz w:val="28"/>
                <w:szCs w:val="28"/>
              </w:rPr>
            </w:pPr>
            <w:proofErr w:type="gramStart"/>
            <w:r w:rsidRPr="006C2588">
              <w:rPr>
                <w:sz w:val="28"/>
                <w:szCs w:val="28"/>
              </w:rPr>
              <w:t>Допущены</w:t>
            </w:r>
            <w:proofErr w:type="gramEnd"/>
            <w:r w:rsidRPr="006C2588">
              <w:rPr>
                <w:sz w:val="28"/>
                <w:szCs w:val="28"/>
              </w:rPr>
              <w:t xml:space="preserve"> к участию и признаны участниками:</w:t>
            </w:r>
          </w:p>
          <w:p w:rsidR="00280ADC" w:rsidRPr="006C2588" w:rsidRDefault="00280ADC" w:rsidP="00280ADC">
            <w:pPr>
              <w:pStyle w:val="11"/>
              <w:ind w:left="1300" w:firstLine="0"/>
              <w:rPr>
                <w:rFonts w:ascii="Times New Roman" w:hAnsi="Times New Roman" w:cs="Times New Roman"/>
                <w:szCs w:val="28"/>
              </w:rPr>
            </w:pPr>
            <w:r w:rsidRPr="006C2588">
              <w:rPr>
                <w:rFonts w:ascii="Times New Roman" w:hAnsi="Times New Roman" w:cs="Times New Roman"/>
                <w:szCs w:val="28"/>
              </w:rPr>
              <w:t>-  ООО «ЛК-Строй»;</w:t>
            </w:r>
          </w:p>
          <w:p w:rsidR="00280ADC" w:rsidRPr="009F680E" w:rsidRDefault="00280ADC" w:rsidP="00280ADC">
            <w:pPr>
              <w:pStyle w:val="11"/>
              <w:ind w:left="1300" w:firstLine="0"/>
              <w:rPr>
                <w:rFonts w:ascii="Times New Roman" w:hAnsi="Times New Roman" w:cs="Times New Roman"/>
                <w:szCs w:val="28"/>
              </w:rPr>
            </w:pPr>
            <w:r w:rsidRPr="006C2588">
              <w:rPr>
                <w:rFonts w:ascii="Times New Roman" w:hAnsi="Times New Roman" w:cs="Times New Roman"/>
                <w:szCs w:val="28"/>
              </w:rPr>
              <w:t>-  ООО «</w:t>
            </w:r>
            <w:proofErr w:type="spellStart"/>
            <w:r w:rsidRPr="006C2588">
              <w:rPr>
                <w:rFonts w:ascii="Times New Roman" w:hAnsi="Times New Roman" w:cs="Times New Roman"/>
                <w:szCs w:val="28"/>
              </w:rPr>
              <w:t>СпецСтрой</w:t>
            </w:r>
            <w:proofErr w:type="spellEnd"/>
            <w:r w:rsidRPr="006C2588">
              <w:rPr>
                <w:rFonts w:ascii="Times New Roman" w:hAnsi="Times New Roman" w:cs="Times New Roman"/>
                <w:szCs w:val="28"/>
              </w:rPr>
              <w:t>».</w:t>
            </w:r>
          </w:p>
          <w:p w:rsidR="00280ADC" w:rsidRPr="00956ECE" w:rsidRDefault="00280ADC" w:rsidP="00280ADC">
            <w:pPr>
              <w:pStyle w:val="a3"/>
            </w:pPr>
          </w:p>
          <w:p w:rsidR="00280ADC" w:rsidRDefault="00280ADC" w:rsidP="00280ADC">
            <w:pPr>
              <w:pStyle w:val="1"/>
              <w:tabs>
                <w:tab w:val="left" w:pos="720"/>
              </w:tabs>
              <w:spacing w:line="276" w:lineRule="auto"/>
              <w:jc w:val="center"/>
              <w:rPr>
                <w:lang w:eastAsia="en-US"/>
              </w:rPr>
            </w:pPr>
            <w:r>
              <w:rPr>
                <w:lang w:eastAsia="en-US"/>
              </w:rPr>
              <w:t>По пункту 2 повестки дня</w:t>
            </w:r>
          </w:p>
          <w:p w:rsidR="00280ADC" w:rsidRPr="00C92C64" w:rsidRDefault="00280ADC" w:rsidP="00280ADC">
            <w:pPr>
              <w:spacing w:line="276" w:lineRule="auto"/>
              <w:rPr>
                <w:sz w:val="16"/>
                <w:szCs w:val="16"/>
                <w:lang w:eastAsia="en-US"/>
              </w:rPr>
            </w:pPr>
          </w:p>
          <w:p w:rsidR="00280ADC" w:rsidRDefault="00280ADC" w:rsidP="00280ADC">
            <w:pPr>
              <w:numPr>
                <w:ilvl w:val="1"/>
                <w:numId w:val="3"/>
              </w:numPr>
              <w:ind w:left="0" w:firstLine="709"/>
              <w:jc w:val="both"/>
              <w:rPr>
                <w:sz w:val="28"/>
                <w:szCs w:val="28"/>
              </w:rPr>
            </w:pPr>
            <w:r>
              <w:rPr>
                <w:sz w:val="28"/>
                <w:szCs w:val="28"/>
              </w:rPr>
              <w:t>По результатам рассмотрения конкурсных заявок установлено, что:</w:t>
            </w:r>
          </w:p>
          <w:p w:rsidR="00280ADC" w:rsidRDefault="00280ADC" w:rsidP="00280ADC">
            <w:pPr>
              <w:ind w:firstLine="709"/>
              <w:jc w:val="both"/>
              <w:rPr>
                <w:sz w:val="28"/>
                <w:szCs w:val="28"/>
              </w:rPr>
            </w:pPr>
            <w:r>
              <w:rPr>
                <w:sz w:val="28"/>
                <w:szCs w:val="28"/>
              </w:rPr>
              <w:t xml:space="preserve">- Конкурсная заявка </w:t>
            </w:r>
            <w:r w:rsidRPr="006C2588">
              <w:rPr>
                <w:sz w:val="28"/>
                <w:szCs w:val="28"/>
              </w:rPr>
              <w:t>ООО «ЛК-Строй» соответствует требованиям открытого конкурса № ОК/5-ВВРЗ/2017</w:t>
            </w:r>
            <w:r>
              <w:rPr>
                <w:sz w:val="28"/>
                <w:szCs w:val="28"/>
              </w:rPr>
              <w:t>;</w:t>
            </w:r>
          </w:p>
          <w:p w:rsidR="00280ADC" w:rsidRPr="006C2588" w:rsidRDefault="00280ADC" w:rsidP="00280ADC">
            <w:pPr>
              <w:ind w:firstLine="709"/>
              <w:jc w:val="both"/>
              <w:rPr>
                <w:sz w:val="28"/>
                <w:szCs w:val="28"/>
              </w:rPr>
            </w:pPr>
            <w:r>
              <w:rPr>
                <w:sz w:val="28"/>
                <w:szCs w:val="28"/>
              </w:rPr>
              <w:t xml:space="preserve">- Конкурсная </w:t>
            </w:r>
            <w:r w:rsidRPr="006C2588">
              <w:rPr>
                <w:sz w:val="28"/>
                <w:szCs w:val="28"/>
              </w:rPr>
              <w:t>заявка ООО «</w:t>
            </w:r>
            <w:proofErr w:type="spellStart"/>
            <w:r w:rsidRPr="006C2588">
              <w:rPr>
                <w:sz w:val="28"/>
                <w:szCs w:val="28"/>
              </w:rPr>
              <w:t>СпецСтрой</w:t>
            </w:r>
            <w:proofErr w:type="spellEnd"/>
            <w:r w:rsidRPr="006C2588">
              <w:rPr>
                <w:sz w:val="28"/>
                <w:szCs w:val="28"/>
              </w:rPr>
              <w:t>» соответствует требованиям открытого конкурса № ОК/5-ВВРЗ/2017</w:t>
            </w:r>
            <w:r>
              <w:rPr>
                <w:sz w:val="28"/>
                <w:szCs w:val="28"/>
              </w:rPr>
              <w:t>.</w:t>
            </w:r>
          </w:p>
          <w:p w:rsidR="00280ADC" w:rsidRDefault="00280ADC" w:rsidP="00280ADC">
            <w:pPr>
              <w:numPr>
                <w:ilvl w:val="1"/>
                <w:numId w:val="3"/>
              </w:numPr>
              <w:ind w:left="0" w:firstLine="709"/>
              <w:jc w:val="both"/>
              <w:rPr>
                <w:sz w:val="28"/>
                <w:szCs w:val="28"/>
              </w:rPr>
            </w:pPr>
            <w:r>
              <w:rPr>
                <w:sz w:val="28"/>
                <w:szCs w:val="28"/>
              </w:rPr>
              <w:t>Конкурсная заявк</w:t>
            </w:r>
            <w:proofErr w:type="gramStart"/>
            <w:r>
              <w:rPr>
                <w:sz w:val="28"/>
                <w:szCs w:val="28"/>
              </w:rPr>
              <w:t xml:space="preserve">а </w:t>
            </w:r>
            <w:r w:rsidRPr="006C2588">
              <w:rPr>
                <w:sz w:val="28"/>
                <w:szCs w:val="28"/>
              </w:rPr>
              <w:t>ООО</w:t>
            </w:r>
            <w:proofErr w:type="gramEnd"/>
            <w:r w:rsidRPr="006C2588">
              <w:rPr>
                <w:sz w:val="28"/>
                <w:szCs w:val="28"/>
              </w:rPr>
              <w:t xml:space="preserve"> Производственная база «ЖКХ»</w:t>
            </w:r>
            <w:r>
              <w:rPr>
                <w:sz w:val="28"/>
                <w:szCs w:val="28"/>
              </w:rPr>
              <w:t xml:space="preserve"> не соответствует требованиям открытого конкурса </w:t>
            </w:r>
            <w:r w:rsidRPr="006C2588">
              <w:rPr>
                <w:sz w:val="28"/>
                <w:szCs w:val="28"/>
              </w:rPr>
              <w:t>№ ОК/5-ВВРЗ/2017</w:t>
            </w:r>
            <w:r>
              <w:rPr>
                <w:sz w:val="28"/>
                <w:szCs w:val="28"/>
              </w:rPr>
              <w:t xml:space="preserve"> (не </w:t>
            </w:r>
            <w:r w:rsidR="00956106">
              <w:rPr>
                <w:sz w:val="28"/>
                <w:szCs w:val="28"/>
              </w:rPr>
              <w:t xml:space="preserve">соответствует требованиям </w:t>
            </w:r>
            <w:r>
              <w:rPr>
                <w:sz w:val="28"/>
                <w:szCs w:val="28"/>
              </w:rPr>
              <w:t xml:space="preserve">п. 2.2 подпункт </w:t>
            </w:r>
            <w:r w:rsidRPr="00CF1EB2">
              <w:rPr>
                <w:sz w:val="28"/>
                <w:szCs w:val="28"/>
              </w:rPr>
              <w:t>а</w:t>
            </w:r>
            <w:r w:rsidR="00CF1EB2">
              <w:rPr>
                <w:sz w:val="28"/>
                <w:szCs w:val="28"/>
              </w:rPr>
              <w:t>)</w:t>
            </w:r>
            <w:r w:rsidR="00CF1EB2" w:rsidRPr="00CF1EB2">
              <w:rPr>
                <w:sz w:val="28"/>
                <w:szCs w:val="28"/>
              </w:rPr>
              <w:t xml:space="preserve"> конкурсной документации</w:t>
            </w:r>
            <w:r>
              <w:rPr>
                <w:sz w:val="28"/>
                <w:szCs w:val="28"/>
              </w:rPr>
              <w:t>).</w:t>
            </w:r>
          </w:p>
          <w:p w:rsidR="00280ADC" w:rsidRPr="009F680E" w:rsidRDefault="00280ADC" w:rsidP="00280ADC">
            <w:pPr>
              <w:numPr>
                <w:ilvl w:val="1"/>
                <w:numId w:val="3"/>
              </w:numPr>
              <w:ind w:left="0" w:firstLine="709"/>
              <w:jc w:val="both"/>
              <w:rPr>
                <w:sz w:val="28"/>
                <w:szCs w:val="28"/>
              </w:rPr>
            </w:pPr>
            <w:r w:rsidRPr="009F680E">
              <w:rPr>
                <w:sz w:val="28"/>
                <w:szCs w:val="28"/>
              </w:rPr>
              <w:t xml:space="preserve">Экспертная группа осуществляет оценку конкурсных заявок участников согласно утвержденной методике оценки конкурсных заявок по открытому конкурсу </w:t>
            </w:r>
            <w:r w:rsidRPr="009F680E">
              <w:rPr>
                <w:iCs/>
                <w:sz w:val="28"/>
                <w:szCs w:val="28"/>
              </w:rPr>
              <w:t>№ </w:t>
            </w:r>
            <w:r w:rsidRPr="009F680E">
              <w:rPr>
                <w:color w:val="000000"/>
                <w:sz w:val="28"/>
                <w:szCs w:val="28"/>
              </w:rPr>
              <w:t>ОК/5-ВВРЗ/201</w:t>
            </w:r>
            <w:r>
              <w:rPr>
                <w:color w:val="000000"/>
                <w:sz w:val="28"/>
                <w:szCs w:val="28"/>
              </w:rPr>
              <w:t>7</w:t>
            </w:r>
            <w:r w:rsidRPr="009F680E">
              <w:rPr>
                <w:iCs/>
                <w:sz w:val="28"/>
                <w:szCs w:val="28"/>
              </w:rPr>
              <w:t>.</w:t>
            </w:r>
            <w:r w:rsidRPr="009F680E">
              <w:rPr>
                <w:sz w:val="28"/>
                <w:szCs w:val="28"/>
              </w:rPr>
              <w:t xml:space="preserve"> Каждой конкурсной заявке присваивается балльная оценка. </w:t>
            </w:r>
          </w:p>
          <w:p w:rsidR="00280ADC" w:rsidRPr="009F680E" w:rsidRDefault="00280ADC" w:rsidP="00280ADC">
            <w:pPr>
              <w:pStyle w:val="a9"/>
              <w:widowControl w:val="0"/>
              <w:numPr>
                <w:ilvl w:val="1"/>
                <w:numId w:val="3"/>
              </w:numPr>
              <w:suppressAutoHyphens/>
              <w:autoSpaceDE w:val="0"/>
              <w:autoSpaceDN w:val="0"/>
              <w:adjustRightInd w:val="0"/>
              <w:ind w:left="0" w:firstLine="709"/>
              <w:rPr>
                <w:sz w:val="28"/>
                <w:szCs w:val="28"/>
              </w:rPr>
            </w:pPr>
            <w:r w:rsidRPr="009F680E">
              <w:rPr>
                <w:sz w:val="28"/>
                <w:szCs w:val="28"/>
              </w:rPr>
              <w:t>На основании результатов оценки и сопоставления конкурсных заявок каждой заявке по мере уменьшения выгодности содержащихся в ней условий</w:t>
            </w:r>
            <w:r w:rsidRPr="009F680E">
              <w:rPr>
                <w:b/>
                <w:sz w:val="28"/>
                <w:szCs w:val="28"/>
              </w:rPr>
              <w:t xml:space="preserve"> </w:t>
            </w:r>
            <w:r w:rsidRPr="009F680E">
              <w:rPr>
                <w:sz w:val="28"/>
                <w:szCs w:val="28"/>
              </w:rPr>
              <w:t>присваивается порядковый номер. Конкурсной заявке, в которой содержатся лучшие условия, присваивается первый номер. В случае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w:t>
            </w:r>
          </w:p>
          <w:p w:rsidR="00280ADC" w:rsidRPr="009F680E" w:rsidRDefault="00280ADC" w:rsidP="00280ADC">
            <w:pPr>
              <w:ind w:firstLine="708"/>
              <w:jc w:val="both"/>
              <w:rPr>
                <w:sz w:val="28"/>
                <w:szCs w:val="28"/>
              </w:rPr>
            </w:pPr>
            <w:r w:rsidRPr="009F680E">
              <w:rPr>
                <w:sz w:val="28"/>
                <w:szCs w:val="28"/>
              </w:rPr>
              <w:t>По итогам оценки экспертной группой конкурсных заявок участникам присвоены следующие итоговые балльные оценки и порядковые номера:</w:t>
            </w:r>
          </w:p>
          <w:p w:rsidR="00280ADC" w:rsidRDefault="00280ADC" w:rsidP="00280ADC">
            <w:pPr>
              <w:ind w:firstLine="708"/>
              <w:jc w:val="both"/>
              <w:rPr>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032"/>
              <w:gridCol w:w="3249"/>
            </w:tblGrid>
            <w:tr w:rsidR="00280ADC" w:rsidTr="00245D99">
              <w:trPr>
                <w:trHeight w:val="285"/>
              </w:trPr>
              <w:tc>
                <w:tcPr>
                  <w:tcW w:w="1668" w:type="dxa"/>
                  <w:tcBorders>
                    <w:top w:val="single" w:sz="4" w:space="0" w:color="auto"/>
                    <w:left w:val="single" w:sz="4" w:space="0" w:color="auto"/>
                    <w:bottom w:val="single" w:sz="4" w:space="0" w:color="auto"/>
                    <w:right w:val="single" w:sz="4" w:space="0" w:color="auto"/>
                  </w:tcBorders>
                  <w:vAlign w:val="center"/>
                  <w:hideMark/>
                </w:tcPr>
                <w:p w:rsidR="00280ADC" w:rsidRDefault="00280ADC" w:rsidP="00245D99">
                  <w:pPr>
                    <w:tabs>
                      <w:tab w:val="left" w:pos="4860"/>
                    </w:tabs>
                    <w:jc w:val="center"/>
                    <w:rPr>
                      <w:b/>
                      <w:sz w:val="20"/>
                      <w:szCs w:val="20"/>
                    </w:rPr>
                  </w:pPr>
                  <w:r>
                    <w:rPr>
                      <w:b/>
                      <w:sz w:val="20"/>
                      <w:szCs w:val="20"/>
                    </w:rPr>
                    <w:t>Порядковый номер заявки</w:t>
                  </w:r>
                </w:p>
              </w:tc>
              <w:tc>
                <w:tcPr>
                  <w:tcW w:w="4032" w:type="dxa"/>
                  <w:tcBorders>
                    <w:top w:val="single" w:sz="4" w:space="0" w:color="auto"/>
                    <w:left w:val="single" w:sz="4" w:space="0" w:color="auto"/>
                    <w:bottom w:val="single" w:sz="4" w:space="0" w:color="auto"/>
                    <w:right w:val="single" w:sz="4" w:space="0" w:color="auto"/>
                  </w:tcBorders>
                  <w:hideMark/>
                </w:tcPr>
                <w:p w:rsidR="00280ADC" w:rsidRDefault="00280ADC" w:rsidP="00245D99">
                  <w:pPr>
                    <w:tabs>
                      <w:tab w:val="left" w:pos="4860"/>
                    </w:tabs>
                    <w:rPr>
                      <w:b/>
                      <w:sz w:val="20"/>
                      <w:szCs w:val="20"/>
                    </w:rPr>
                  </w:pPr>
                  <w:r>
                    <w:rPr>
                      <w:b/>
                      <w:sz w:val="20"/>
                      <w:szCs w:val="20"/>
                    </w:rPr>
                    <w:t>Наименование участника</w:t>
                  </w:r>
                </w:p>
              </w:tc>
              <w:tc>
                <w:tcPr>
                  <w:tcW w:w="3249" w:type="dxa"/>
                  <w:tcBorders>
                    <w:top w:val="single" w:sz="4" w:space="0" w:color="auto"/>
                    <w:left w:val="single" w:sz="4" w:space="0" w:color="auto"/>
                    <w:bottom w:val="single" w:sz="4" w:space="0" w:color="auto"/>
                    <w:right w:val="single" w:sz="4" w:space="0" w:color="auto"/>
                  </w:tcBorders>
                  <w:hideMark/>
                </w:tcPr>
                <w:p w:rsidR="00280ADC" w:rsidRDefault="00280ADC" w:rsidP="00245D99">
                  <w:pPr>
                    <w:tabs>
                      <w:tab w:val="left" w:pos="4860"/>
                    </w:tabs>
                    <w:rPr>
                      <w:b/>
                      <w:sz w:val="20"/>
                      <w:szCs w:val="20"/>
                    </w:rPr>
                  </w:pPr>
                  <w:r>
                    <w:rPr>
                      <w:b/>
                      <w:sz w:val="20"/>
                      <w:szCs w:val="20"/>
                    </w:rPr>
                    <w:t xml:space="preserve">Балльная оценка заявки, представленной участником </w:t>
                  </w:r>
                </w:p>
              </w:tc>
            </w:tr>
            <w:tr w:rsidR="00280ADC" w:rsidTr="00245D99">
              <w:trPr>
                <w:trHeight w:val="315"/>
              </w:trPr>
              <w:tc>
                <w:tcPr>
                  <w:tcW w:w="1668" w:type="dxa"/>
                  <w:tcBorders>
                    <w:top w:val="single" w:sz="4" w:space="0" w:color="auto"/>
                    <w:left w:val="single" w:sz="4" w:space="0" w:color="auto"/>
                    <w:bottom w:val="single" w:sz="4" w:space="0" w:color="auto"/>
                    <w:right w:val="single" w:sz="4" w:space="0" w:color="auto"/>
                  </w:tcBorders>
                  <w:vAlign w:val="center"/>
                  <w:hideMark/>
                </w:tcPr>
                <w:p w:rsidR="00280ADC" w:rsidRDefault="00280ADC" w:rsidP="00245D99">
                  <w:pPr>
                    <w:tabs>
                      <w:tab w:val="left" w:pos="4860"/>
                    </w:tabs>
                    <w:jc w:val="center"/>
                    <w:rPr>
                      <w:sz w:val="28"/>
                      <w:szCs w:val="28"/>
                    </w:rPr>
                  </w:pPr>
                  <w:r>
                    <w:rPr>
                      <w:sz w:val="28"/>
                      <w:szCs w:val="28"/>
                    </w:rPr>
                    <w:t>1</w:t>
                  </w:r>
                </w:p>
              </w:tc>
              <w:tc>
                <w:tcPr>
                  <w:tcW w:w="4032" w:type="dxa"/>
                  <w:tcBorders>
                    <w:top w:val="single" w:sz="4" w:space="0" w:color="auto"/>
                    <w:left w:val="single" w:sz="4" w:space="0" w:color="auto"/>
                    <w:bottom w:val="single" w:sz="4" w:space="0" w:color="auto"/>
                    <w:right w:val="single" w:sz="4" w:space="0" w:color="auto"/>
                  </w:tcBorders>
                  <w:hideMark/>
                </w:tcPr>
                <w:p w:rsidR="00280ADC" w:rsidRPr="009F680E" w:rsidRDefault="00280ADC" w:rsidP="00245D99">
                  <w:pPr>
                    <w:tabs>
                      <w:tab w:val="left" w:pos="4860"/>
                    </w:tabs>
                    <w:rPr>
                      <w:b/>
                      <w:i/>
                      <w:sz w:val="28"/>
                      <w:szCs w:val="28"/>
                    </w:rPr>
                  </w:pPr>
                  <w:r w:rsidRPr="009F680E">
                    <w:rPr>
                      <w:sz w:val="28"/>
                      <w:szCs w:val="28"/>
                    </w:rPr>
                    <w:t>ООО «ЛК-Строй»</w:t>
                  </w:r>
                </w:p>
              </w:tc>
              <w:tc>
                <w:tcPr>
                  <w:tcW w:w="3249" w:type="dxa"/>
                  <w:tcBorders>
                    <w:top w:val="single" w:sz="4" w:space="0" w:color="auto"/>
                    <w:left w:val="single" w:sz="4" w:space="0" w:color="auto"/>
                    <w:bottom w:val="single" w:sz="4" w:space="0" w:color="auto"/>
                    <w:right w:val="single" w:sz="4" w:space="0" w:color="auto"/>
                  </w:tcBorders>
                  <w:vAlign w:val="center"/>
                  <w:hideMark/>
                </w:tcPr>
                <w:p w:rsidR="00280ADC" w:rsidRDefault="00280ADC" w:rsidP="00245D99">
                  <w:pPr>
                    <w:tabs>
                      <w:tab w:val="left" w:pos="4860"/>
                    </w:tabs>
                    <w:jc w:val="center"/>
                    <w:rPr>
                      <w:sz w:val="20"/>
                      <w:szCs w:val="20"/>
                    </w:rPr>
                  </w:pPr>
                  <w:r>
                    <w:rPr>
                      <w:sz w:val="20"/>
                      <w:szCs w:val="20"/>
                    </w:rPr>
                    <w:t>100</w:t>
                  </w:r>
                </w:p>
              </w:tc>
            </w:tr>
            <w:tr w:rsidR="00280ADC" w:rsidTr="00245D99">
              <w:trPr>
                <w:trHeight w:val="315"/>
              </w:trPr>
              <w:tc>
                <w:tcPr>
                  <w:tcW w:w="1668" w:type="dxa"/>
                  <w:tcBorders>
                    <w:top w:val="single" w:sz="4" w:space="0" w:color="auto"/>
                    <w:left w:val="single" w:sz="4" w:space="0" w:color="auto"/>
                    <w:bottom w:val="single" w:sz="4" w:space="0" w:color="auto"/>
                    <w:right w:val="single" w:sz="4" w:space="0" w:color="auto"/>
                  </w:tcBorders>
                  <w:vAlign w:val="center"/>
                  <w:hideMark/>
                </w:tcPr>
                <w:p w:rsidR="00280ADC" w:rsidRDefault="00280ADC" w:rsidP="00245D99">
                  <w:pPr>
                    <w:tabs>
                      <w:tab w:val="left" w:pos="4860"/>
                    </w:tabs>
                    <w:jc w:val="center"/>
                    <w:rPr>
                      <w:sz w:val="28"/>
                      <w:szCs w:val="28"/>
                    </w:rPr>
                  </w:pPr>
                  <w:r>
                    <w:rPr>
                      <w:sz w:val="28"/>
                      <w:szCs w:val="28"/>
                    </w:rPr>
                    <w:t>2</w:t>
                  </w:r>
                </w:p>
              </w:tc>
              <w:tc>
                <w:tcPr>
                  <w:tcW w:w="4032" w:type="dxa"/>
                  <w:tcBorders>
                    <w:top w:val="single" w:sz="4" w:space="0" w:color="auto"/>
                    <w:left w:val="single" w:sz="4" w:space="0" w:color="auto"/>
                    <w:bottom w:val="single" w:sz="4" w:space="0" w:color="auto"/>
                    <w:right w:val="single" w:sz="4" w:space="0" w:color="auto"/>
                  </w:tcBorders>
                  <w:hideMark/>
                </w:tcPr>
                <w:p w:rsidR="00280ADC" w:rsidRPr="009F680E" w:rsidRDefault="00280ADC" w:rsidP="00245D99">
                  <w:pPr>
                    <w:outlineLvl w:val="0"/>
                    <w:rPr>
                      <w:b/>
                      <w:i/>
                      <w:sz w:val="28"/>
                      <w:szCs w:val="28"/>
                    </w:rPr>
                  </w:pPr>
                  <w:r w:rsidRPr="009F680E">
                    <w:rPr>
                      <w:sz w:val="28"/>
                      <w:szCs w:val="28"/>
                    </w:rPr>
                    <w:t>ООО «</w:t>
                  </w:r>
                  <w:proofErr w:type="spellStart"/>
                  <w:r w:rsidRPr="009F680E">
                    <w:rPr>
                      <w:sz w:val="28"/>
                      <w:szCs w:val="28"/>
                    </w:rPr>
                    <w:t>СпецСтрой</w:t>
                  </w:r>
                  <w:proofErr w:type="spellEnd"/>
                  <w:r w:rsidRPr="009F680E">
                    <w:rPr>
                      <w:sz w:val="28"/>
                      <w:szCs w:val="28"/>
                    </w:rPr>
                    <w:t>»</w:t>
                  </w:r>
                </w:p>
              </w:tc>
              <w:tc>
                <w:tcPr>
                  <w:tcW w:w="3249" w:type="dxa"/>
                  <w:tcBorders>
                    <w:top w:val="single" w:sz="4" w:space="0" w:color="auto"/>
                    <w:left w:val="single" w:sz="4" w:space="0" w:color="auto"/>
                    <w:bottom w:val="single" w:sz="4" w:space="0" w:color="auto"/>
                    <w:right w:val="single" w:sz="4" w:space="0" w:color="auto"/>
                  </w:tcBorders>
                  <w:vAlign w:val="center"/>
                  <w:hideMark/>
                </w:tcPr>
                <w:p w:rsidR="00280ADC" w:rsidRDefault="00280ADC" w:rsidP="00245D99">
                  <w:pPr>
                    <w:tabs>
                      <w:tab w:val="left" w:pos="4860"/>
                    </w:tabs>
                    <w:jc w:val="center"/>
                    <w:rPr>
                      <w:sz w:val="20"/>
                      <w:szCs w:val="20"/>
                    </w:rPr>
                  </w:pPr>
                  <w:r>
                    <w:rPr>
                      <w:sz w:val="20"/>
                      <w:szCs w:val="20"/>
                    </w:rPr>
                    <w:t>94,14</w:t>
                  </w:r>
                </w:p>
              </w:tc>
            </w:tr>
          </w:tbl>
          <w:p w:rsidR="00280ADC" w:rsidRDefault="00280ADC" w:rsidP="00280ADC">
            <w:pPr>
              <w:ind w:left="720" w:right="-338"/>
              <w:outlineLvl w:val="0"/>
              <w:rPr>
                <w:i/>
                <w:sz w:val="28"/>
                <w:szCs w:val="28"/>
              </w:rPr>
            </w:pPr>
          </w:p>
          <w:p w:rsidR="00280ADC" w:rsidRDefault="00280ADC" w:rsidP="00280ADC">
            <w:pPr>
              <w:pStyle w:val="1"/>
              <w:tabs>
                <w:tab w:val="left" w:pos="720"/>
              </w:tabs>
              <w:jc w:val="center"/>
            </w:pPr>
            <w:r>
              <w:t>По пункту 3 повестки дня</w:t>
            </w:r>
          </w:p>
          <w:p w:rsidR="00280ADC" w:rsidRPr="00C92C64" w:rsidRDefault="00280ADC" w:rsidP="00280ADC">
            <w:pPr>
              <w:ind w:firstLine="709"/>
              <w:jc w:val="both"/>
              <w:rPr>
                <w:snapToGrid w:val="0"/>
                <w:sz w:val="16"/>
                <w:szCs w:val="16"/>
              </w:rPr>
            </w:pPr>
          </w:p>
          <w:p w:rsidR="00280ADC" w:rsidRDefault="00280ADC" w:rsidP="00280ADC">
            <w:pPr>
              <w:ind w:firstLine="709"/>
              <w:jc w:val="both"/>
              <w:rPr>
                <w:sz w:val="28"/>
                <w:szCs w:val="28"/>
              </w:rPr>
            </w:pPr>
            <w:r>
              <w:rPr>
                <w:sz w:val="28"/>
                <w:szCs w:val="28"/>
              </w:rPr>
              <w:t>На основании проведенной работы по рассмотрению и оценке конкурсных заявок участников открытого конкурса № </w:t>
            </w:r>
            <w:r>
              <w:rPr>
                <w:color w:val="000000"/>
                <w:sz w:val="28"/>
                <w:szCs w:val="28"/>
              </w:rPr>
              <w:t>ОК/5-ВВРЗ/2017</w:t>
            </w:r>
            <w:r>
              <w:rPr>
                <w:sz w:val="28"/>
                <w:szCs w:val="28"/>
              </w:rPr>
              <w:t>, экспертная группа приняла решение вынести на рассмотрение Конкурсной комиссии АО «ВРМ» следующие предложения:</w:t>
            </w:r>
          </w:p>
          <w:p w:rsidR="00280ADC" w:rsidRPr="009415D9" w:rsidRDefault="00280ADC" w:rsidP="00280ADC">
            <w:pPr>
              <w:ind w:firstLine="567"/>
              <w:jc w:val="both"/>
              <w:outlineLvl w:val="0"/>
              <w:rPr>
                <w:b/>
                <w:i/>
                <w:sz w:val="28"/>
                <w:szCs w:val="28"/>
              </w:rPr>
            </w:pPr>
            <w:r>
              <w:rPr>
                <w:rFonts w:ascii="Times New Roman CYR" w:hAnsi="Times New Roman CYR" w:cs="Times New Roman CYR"/>
                <w:sz w:val="28"/>
                <w:szCs w:val="28"/>
              </w:rPr>
              <w:t xml:space="preserve">3.1. </w:t>
            </w:r>
            <w:proofErr w:type="gramStart"/>
            <w:r>
              <w:rPr>
                <w:sz w:val="28"/>
                <w:szCs w:val="28"/>
              </w:rPr>
              <w:t xml:space="preserve">Признать победителем открытого конкурса № </w:t>
            </w:r>
            <w:r>
              <w:rPr>
                <w:color w:val="000000"/>
                <w:sz w:val="28"/>
                <w:szCs w:val="28"/>
              </w:rPr>
              <w:t xml:space="preserve">ОК/5-ВВРЗ/2017 </w:t>
            </w:r>
            <w:r>
              <w:rPr>
                <w:sz w:val="28"/>
                <w:szCs w:val="28"/>
              </w:rPr>
              <w:t xml:space="preserve">- </w:t>
            </w:r>
            <w:r w:rsidRPr="009F680E">
              <w:rPr>
                <w:sz w:val="28"/>
                <w:szCs w:val="28"/>
              </w:rPr>
              <w:t>ООО «ЛК-Строй</w:t>
            </w:r>
            <w:r w:rsidRPr="009415D9">
              <w:rPr>
                <w:sz w:val="28"/>
                <w:szCs w:val="28"/>
              </w:rPr>
              <w:t>»</w:t>
            </w:r>
            <w:r w:rsidRPr="009415D9">
              <w:rPr>
                <w:b/>
                <w:i/>
                <w:sz w:val="28"/>
                <w:szCs w:val="28"/>
              </w:rPr>
              <w:t xml:space="preserve"> </w:t>
            </w:r>
            <w:r w:rsidRPr="009415D9">
              <w:rPr>
                <w:b/>
                <w:i/>
                <w:sz w:val="20"/>
                <w:szCs w:val="20"/>
              </w:rPr>
              <w:t xml:space="preserve"> </w:t>
            </w:r>
            <w:r w:rsidRPr="009415D9">
              <w:rPr>
                <w:sz w:val="28"/>
                <w:szCs w:val="28"/>
              </w:rPr>
              <w:t>получившего максимальную балльную оценку со стоимостью предложения   3 921 109 рублей  00 копеек (три  миллиона  девятьсот двадцать одна тысяча сто девять рублей 00 копеек),  кроме того НДС 18 % - 705 799 рублей 62 копейки (семьсот пять тысяч семьсот девяносто девять рублей 62 копейки).</w:t>
            </w:r>
            <w:proofErr w:type="gramEnd"/>
          </w:p>
          <w:p w:rsidR="00280ADC" w:rsidRDefault="00280ADC" w:rsidP="00280ADC">
            <w:pPr>
              <w:spacing w:line="276" w:lineRule="auto"/>
              <w:ind w:firstLine="602"/>
              <w:jc w:val="both"/>
              <w:rPr>
                <w:b/>
                <w:sz w:val="28"/>
                <w:szCs w:val="28"/>
                <w:lang w:eastAsia="en-US"/>
              </w:rPr>
            </w:pPr>
            <w:r w:rsidRPr="009415D9">
              <w:rPr>
                <w:rFonts w:ascii="Times New Roman CYR" w:hAnsi="Times New Roman CYR" w:cs="Times New Roman CYR"/>
                <w:sz w:val="28"/>
                <w:szCs w:val="28"/>
              </w:rPr>
              <w:t>3.2. </w:t>
            </w:r>
            <w:proofErr w:type="gramStart"/>
            <w:r w:rsidRPr="009415D9">
              <w:rPr>
                <w:sz w:val="28"/>
                <w:szCs w:val="28"/>
              </w:rPr>
              <w:t xml:space="preserve">Поручить начальнику </w:t>
            </w:r>
            <w:proofErr w:type="spellStart"/>
            <w:r w:rsidRPr="009415D9">
              <w:rPr>
                <w:sz w:val="28"/>
                <w:szCs w:val="28"/>
              </w:rPr>
              <w:t>энерго-механического</w:t>
            </w:r>
            <w:proofErr w:type="spellEnd"/>
            <w:r w:rsidRPr="009415D9">
              <w:rPr>
                <w:sz w:val="28"/>
                <w:szCs w:val="28"/>
              </w:rPr>
              <w:t xml:space="preserve">  отдела в установленном    порядке   обеспечить</w:t>
            </w:r>
            <w:proofErr w:type="gramEnd"/>
            <w:r w:rsidRPr="009415D9">
              <w:rPr>
                <w:sz w:val="28"/>
                <w:szCs w:val="28"/>
              </w:rPr>
              <w:t xml:space="preserve">    заключение    договора   с ООО «ЛК-Строй».</w:t>
            </w:r>
            <w:r>
              <w:rPr>
                <w:sz w:val="28"/>
                <w:szCs w:val="28"/>
              </w:rPr>
              <w:t xml:space="preserve">                               </w:t>
            </w:r>
          </w:p>
          <w:p w:rsidR="009601CF" w:rsidRDefault="009601CF" w:rsidP="00D87E1A">
            <w:pPr>
              <w:rPr>
                <w:b/>
                <w:sz w:val="28"/>
                <w:szCs w:val="28"/>
              </w:rPr>
            </w:pPr>
          </w:p>
          <w:p w:rsidR="009601CF" w:rsidRDefault="009601CF" w:rsidP="00D87E1A">
            <w:pPr>
              <w:rPr>
                <w:b/>
                <w:sz w:val="28"/>
                <w:szCs w:val="28"/>
              </w:rPr>
            </w:pPr>
          </w:p>
          <w:tbl>
            <w:tblPr>
              <w:tblW w:w="0" w:type="auto"/>
              <w:tblLook w:val="01E0"/>
            </w:tblPr>
            <w:tblGrid>
              <w:gridCol w:w="6776"/>
              <w:gridCol w:w="2826"/>
            </w:tblGrid>
            <w:tr w:rsidR="009601CF" w:rsidRPr="007D385F" w:rsidTr="00D87E1A">
              <w:trPr>
                <w:trHeight w:val="272"/>
              </w:trPr>
              <w:tc>
                <w:tcPr>
                  <w:tcW w:w="6776" w:type="dxa"/>
                </w:tcPr>
                <w:p w:rsidR="009601CF" w:rsidRPr="007D385F" w:rsidRDefault="009601CF" w:rsidP="00D87E1A">
                  <w:pPr>
                    <w:rPr>
                      <w:b/>
                      <w:sz w:val="28"/>
                      <w:szCs w:val="28"/>
                    </w:rPr>
                  </w:pPr>
                  <w:r>
                    <w:rPr>
                      <w:b/>
                      <w:sz w:val="28"/>
                      <w:szCs w:val="28"/>
                    </w:rPr>
                    <w:t>Подписи.</w:t>
                  </w:r>
                </w:p>
              </w:tc>
              <w:tc>
                <w:tcPr>
                  <w:tcW w:w="2826" w:type="dxa"/>
                </w:tcPr>
                <w:p w:rsidR="009601CF" w:rsidRPr="007D385F" w:rsidRDefault="009601CF" w:rsidP="00D87E1A">
                  <w:pPr>
                    <w:rPr>
                      <w:sz w:val="28"/>
                      <w:szCs w:val="28"/>
                    </w:rPr>
                  </w:pPr>
                </w:p>
              </w:tc>
            </w:tr>
            <w:tr w:rsidR="009601CF" w:rsidRPr="007D385F" w:rsidTr="00D87E1A">
              <w:trPr>
                <w:trHeight w:val="272"/>
              </w:trPr>
              <w:tc>
                <w:tcPr>
                  <w:tcW w:w="6776" w:type="dxa"/>
                </w:tcPr>
                <w:p w:rsidR="009601CF" w:rsidRPr="007D385F" w:rsidRDefault="009601CF" w:rsidP="00D87E1A">
                  <w:pPr>
                    <w:rPr>
                      <w:sz w:val="28"/>
                      <w:szCs w:val="28"/>
                    </w:rPr>
                  </w:pPr>
                </w:p>
              </w:tc>
              <w:tc>
                <w:tcPr>
                  <w:tcW w:w="2826" w:type="dxa"/>
                </w:tcPr>
                <w:p w:rsidR="009601CF" w:rsidRPr="007D385F" w:rsidRDefault="009601CF" w:rsidP="00D87E1A">
                  <w:pPr>
                    <w:jc w:val="right"/>
                    <w:rPr>
                      <w:sz w:val="28"/>
                      <w:szCs w:val="28"/>
                    </w:rPr>
                  </w:pPr>
                </w:p>
              </w:tc>
            </w:tr>
          </w:tbl>
          <w:p w:rsidR="009601CF" w:rsidRPr="007D385F" w:rsidRDefault="009601CF" w:rsidP="00D87E1A">
            <w:pPr>
              <w:rPr>
                <w:sz w:val="28"/>
                <w:szCs w:val="28"/>
              </w:rPr>
            </w:pPr>
          </w:p>
          <w:tbl>
            <w:tblPr>
              <w:tblW w:w="9685" w:type="dxa"/>
              <w:tblLook w:val="01E0"/>
            </w:tblPr>
            <w:tblGrid>
              <w:gridCol w:w="6477"/>
              <w:gridCol w:w="3208"/>
            </w:tblGrid>
            <w:tr w:rsidR="009601CF" w:rsidRPr="007D385F" w:rsidTr="00D87E1A">
              <w:trPr>
                <w:trHeight w:val="358"/>
              </w:trPr>
              <w:tc>
                <w:tcPr>
                  <w:tcW w:w="6477" w:type="dxa"/>
                </w:tcPr>
                <w:p w:rsidR="009601CF" w:rsidRPr="007D385F" w:rsidRDefault="009601CF" w:rsidP="00D87E1A">
                  <w:pPr>
                    <w:rPr>
                      <w:b/>
                      <w:sz w:val="28"/>
                      <w:szCs w:val="28"/>
                    </w:rPr>
                  </w:pPr>
                </w:p>
              </w:tc>
              <w:tc>
                <w:tcPr>
                  <w:tcW w:w="3208" w:type="dxa"/>
                </w:tcPr>
                <w:p w:rsidR="009601CF" w:rsidRPr="007D385F" w:rsidRDefault="009601CF" w:rsidP="00D87E1A">
                  <w:pPr>
                    <w:jc w:val="right"/>
                    <w:rPr>
                      <w:sz w:val="28"/>
                      <w:szCs w:val="28"/>
                    </w:rPr>
                  </w:pPr>
                </w:p>
              </w:tc>
            </w:tr>
            <w:tr w:rsidR="009601CF" w:rsidRPr="007D385F" w:rsidTr="00D87E1A">
              <w:trPr>
                <w:trHeight w:val="1090"/>
              </w:trPr>
              <w:tc>
                <w:tcPr>
                  <w:tcW w:w="6477" w:type="dxa"/>
                </w:tcPr>
                <w:p w:rsidR="009601CF" w:rsidRPr="007D385F" w:rsidRDefault="009601CF" w:rsidP="00D87E1A">
                  <w:pPr>
                    <w:rPr>
                      <w:sz w:val="28"/>
                      <w:szCs w:val="28"/>
                    </w:rPr>
                  </w:pPr>
                </w:p>
              </w:tc>
              <w:tc>
                <w:tcPr>
                  <w:tcW w:w="3208" w:type="dxa"/>
                </w:tcPr>
                <w:p w:rsidR="009601CF" w:rsidRPr="007D385F" w:rsidRDefault="009601CF" w:rsidP="00D87E1A">
                  <w:pPr>
                    <w:rPr>
                      <w:sz w:val="28"/>
                      <w:szCs w:val="28"/>
                    </w:rPr>
                  </w:pPr>
                </w:p>
              </w:tc>
            </w:tr>
            <w:tr w:rsidR="009601CF" w:rsidRPr="008346C5" w:rsidTr="00D87E1A">
              <w:trPr>
                <w:trHeight w:val="1463"/>
              </w:trPr>
              <w:tc>
                <w:tcPr>
                  <w:tcW w:w="6477" w:type="dxa"/>
                </w:tcPr>
                <w:p w:rsidR="009601CF" w:rsidRPr="007D385F" w:rsidRDefault="009601CF" w:rsidP="00D87E1A">
                  <w:pPr>
                    <w:rPr>
                      <w:sz w:val="28"/>
                      <w:szCs w:val="28"/>
                    </w:rPr>
                  </w:pPr>
                </w:p>
              </w:tc>
              <w:tc>
                <w:tcPr>
                  <w:tcW w:w="3208" w:type="dxa"/>
                </w:tcPr>
                <w:p w:rsidR="009601CF" w:rsidRPr="008346C5" w:rsidRDefault="009601CF" w:rsidP="00D87E1A">
                  <w:pPr>
                    <w:jc w:val="right"/>
                    <w:rPr>
                      <w:sz w:val="28"/>
                      <w:szCs w:val="28"/>
                    </w:rPr>
                  </w:pPr>
                </w:p>
              </w:tc>
            </w:tr>
          </w:tbl>
          <w:p w:rsidR="009601CF" w:rsidRDefault="009601CF" w:rsidP="00D87E1A">
            <w:pPr>
              <w:rPr>
                <w:b/>
                <w:sz w:val="28"/>
                <w:szCs w:val="28"/>
              </w:rPr>
            </w:pPr>
          </w:p>
          <w:p w:rsidR="009601CF" w:rsidRDefault="009601CF" w:rsidP="00D87E1A">
            <w:pPr>
              <w:rPr>
                <w:b/>
                <w:sz w:val="28"/>
                <w:szCs w:val="28"/>
              </w:rPr>
            </w:pPr>
          </w:p>
          <w:p w:rsidR="009601CF" w:rsidRDefault="009601CF" w:rsidP="00D87E1A">
            <w:pPr>
              <w:rPr>
                <w:b/>
                <w:sz w:val="28"/>
                <w:szCs w:val="28"/>
              </w:rPr>
            </w:pPr>
          </w:p>
          <w:p w:rsidR="009601CF" w:rsidRDefault="009601CF" w:rsidP="00D87E1A">
            <w:pPr>
              <w:rPr>
                <w:b/>
                <w:sz w:val="28"/>
                <w:szCs w:val="28"/>
              </w:rPr>
            </w:pPr>
          </w:p>
          <w:p w:rsidR="009601CF" w:rsidRDefault="009601CF" w:rsidP="00D87E1A">
            <w:pPr>
              <w:rPr>
                <w:b/>
                <w:sz w:val="28"/>
                <w:szCs w:val="28"/>
              </w:rPr>
            </w:pPr>
          </w:p>
          <w:p w:rsidR="009601CF" w:rsidRDefault="009601CF" w:rsidP="00D87E1A">
            <w:pPr>
              <w:rPr>
                <w:b/>
                <w:sz w:val="28"/>
                <w:szCs w:val="28"/>
              </w:rPr>
            </w:pPr>
          </w:p>
          <w:p w:rsidR="009601CF" w:rsidRPr="002F46A2" w:rsidRDefault="009601CF" w:rsidP="00D87E1A">
            <w:pPr>
              <w:rPr>
                <w:b/>
                <w:sz w:val="28"/>
                <w:szCs w:val="28"/>
              </w:rPr>
            </w:pPr>
          </w:p>
        </w:tc>
        <w:tc>
          <w:tcPr>
            <w:tcW w:w="2857" w:type="dxa"/>
          </w:tcPr>
          <w:p w:rsidR="009601CF" w:rsidRPr="002F46A2" w:rsidRDefault="009601CF" w:rsidP="00D87E1A">
            <w:pPr>
              <w:rPr>
                <w:sz w:val="28"/>
                <w:szCs w:val="28"/>
              </w:rPr>
            </w:pPr>
          </w:p>
        </w:tc>
      </w:tr>
    </w:tbl>
    <w:p w:rsidR="009F78EF" w:rsidRDefault="009F78EF"/>
    <w:sectPr w:rsidR="009F78EF" w:rsidSect="009F78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1A" w:rsidRDefault="00FE331A" w:rsidP="009601CF">
      <w:r>
        <w:separator/>
      </w:r>
    </w:p>
  </w:endnote>
  <w:endnote w:type="continuationSeparator" w:id="0">
    <w:p w:rsidR="00FE331A" w:rsidRDefault="00FE331A" w:rsidP="0096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1A" w:rsidRDefault="00FE331A" w:rsidP="009601CF">
      <w:r>
        <w:separator/>
      </w:r>
    </w:p>
  </w:footnote>
  <w:footnote w:type="continuationSeparator" w:id="0">
    <w:p w:rsidR="00FE331A" w:rsidRDefault="00FE331A" w:rsidP="00960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45F"/>
    <w:multiLevelType w:val="hybridMultilevel"/>
    <w:tmpl w:val="4BFA4096"/>
    <w:lvl w:ilvl="0" w:tplc="1EAAE6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4A4199"/>
    <w:multiLevelType w:val="multilevel"/>
    <w:tmpl w:val="93F83AF2"/>
    <w:lvl w:ilvl="0">
      <w:start w:val="2"/>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4C2D30A3"/>
    <w:multiLevelType w:val="multilevel"/>
    <w:tmpl w:val="611847FC"/>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3934"/>
    <w:rsid w:val="000F46E6"/>
    <w:rsid w:val="001573FB"/>
    <w:rsid w:val="001A5687"/>
    <w:rsid w:val="00280ADC"/>
    <w:rsid w:val="002C63E0"/>
    <w:rsid w:val="004476C1"/>
    <w:rsid w:val="005370B2"/>
    <w:rsid w:val="00561B6A"/>
    <w:rsid w:val="005A22DA"/>
    <w:rsid w:val="00640E12"/>
    <w:rsid w:val="006F62DE"/>
    <w:rsid w:val="00792796"/>
    <w:rsid w:val="008517E0"/>
    <w:rsid w:val="00956106"/>
    <w:rsid w:val="009601CF"/>
    <w:rsid w:val="009C3934"/>
    <w:rsid w:val="009F78EF"/>
    <w:rsid w:val="00AA3EB4"/>
    <w:rsid w:val="00CF1EB2"/>
    <w:rsid w:val="00D73037"/>
    <w:rsid w:val="00DC1FA8"/>
    <w:rsid w:val="00E8274A"/>
    <w:rsid w:val="00EE24E0"/>
    <w:rsid w:val="00F0084D"/>
    <w:rsid w:val="00F8073C"/>
    <w:rsid w:val="00FE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9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3934"/>
    <w:pPr>
      <w:keepNext/>
      <w:tabs>
        <w:tab w:val="left" w:pos="3630"/>
      </w:tabs>
      <w:jc w:val="both"/>
      <w:outlineLvl w:val="0"/>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934"/>
    <w:rPr>
      <w:rFonts w:ascii="Times New Roman" w:eastAsia="Times New Roman" w:hAnsi="Times New Roman" w:cs="Times New Roman"/>
      <w:b/>
      <w:bCs/>
      <w:sz w:val="28"/>
      <w:szCs w:val="28"/>
      <w:u w:val="single"/>
      <w:lang w:eastAsia="ru-RU"/>
    </w:rPr>
  </w:style>
  <w:style w:type="paragraph" w:styleId="a3">
    <w:name w:val="List Bullet"/>
    <w:basedOn w:val="a"/>
    <w:autoRedefine/>
    <w:unhideWhenUsed/>
    <w:rsid w:val="009C3934"/>
    <w:pPr>
      <w:tabs>
        <w:tab w:val="left" w:pos="-567"/>
        <w:tab w:val="left" w:pos="-426"/>
      </w:tabs>
      <w:autoSpaceDE w:val="0"/>
      <w:autoSpaceDN w:val="0"/>
      <w:adjustRightInd w:val="0"/>
      <w:ind w:firstLine="709"/>
      <w:jc w:val="both"/>
    </w:pPr>
    <w:rPr>
      <w:bCs/>
      <w:sz w:val="28"/>
      <w:szCs w:val="28"/>
    </w:rPr>
  </w:style>
  <w:style w:type="character" w:customStyle="1" w:styleId="Normal">
    <w:name w:val="Normal Знак"/>
    <w:basedOn w:val="a0"/>
    <w:link w:val="11"/>
    <w:locked/>
    <w:rsid w:val="009C3934"/>
    <w:rPr>
      <w:sz w:val="28"/>
    </w:rPr>
  </w:style>
  <w:style w:type="paragraph" w:customStyle="1" w:styleId="11">
    <w:name w:val="Обычный1"/>
    <w:link w:val="Normal"/>
    <w:rsid w:val="009C3934"/>
    <w:pPr>
      <w:spacing w:after="0" w:line="240" w:lineRule="auto"/>
      <w:ind w:firstLine="720"/>
      <w:jc w:val="both"/>
    </w:pPr>
    <w:rPr>
      <w:sz w:val="28"/>
    </w:rPr>
  </w:style>
  <w:style w:type="paragraph" w:customStyle="1" w:styleId="3">
    <w:name w:val="Обычный3"/>
    <w:rsid w:val="009C3934"/>
    <w:pPr>
      <w:spacing w:after="0" w:line="240" w:lineRule="auto"/>
      <w:ind w:firstLine="720"/>
      <w:jc w:val="both"/>
    </w:pPr>
    <w:rPr>
      <w:rFonts w:ascii="Times New Roman" w:eastAsia="Times New Roman" w:hAnsi="Times New Roman" w:cs="Times New Roman"/>
      <w:sz w:val="28"/>
      <w:szCs w:val="20"/>
      <w:lang w:eastAsia="ru-RU"/>
    </w:rPr>
  </w:style>
  <w:style w:type="paragraph" w:styleId="a4">
    <w:name w:val="List Paragraph"/>
    <w:basedOn w:val="a"/>
    <w:uiPriority w:val="34"/>
    <w:qFormat/>
    <w:rsid w:val="009C3934"/>
    <w:pPr>
      <w:ind w:left="720"/>
      <w:contextualSpacing/>
    </w:pPr>
  </w:style>
  <w:style w:type="paragraph" w:styleId="a5">
    <w:name w:val="header"/>
    <w:basedOn w:val="a"/>
    <w:link w:val="a6"/>
    <w:uiPriority w:val="99"/>
    <w:semiHidden/>
    <w:unhideWhenUsed/>
    <w:rsid w:val="009601CF"/>
    <w:pPr>
      <w:tabs>
        <w:tab w:val="center" w:pos="4677"/>
        <w:tab w:val="right" w:pos="9355"/>
      </w:tabs>
    </w:pPr>
  </w:style>
  <w:style w:type="character" w:customStyle="1" w:styleId="a6">
    <w:name w:val="Верхний колонтитул Знак"/>
    <w:basedOn w:val="a0"/>
    <w:link w:val="a5"/>
    <w:uiPriority w:val="99"/>
    <w:semiHidden/>
    <w:rsid w:val="009601C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601CF"/>
    <w:pPr>
      <w:tabs>
        <w:tab w:val="center" w:pos="4677"/>
        <w:tab w:val="right" w:pos="9355"/>
      </w:tabs>
    </w:pPr>
  </w:style>
  <w:style w:type="character" w:customStyle="1" w:styleId="a8">
    <w:name w:val="Нижний колонтитул Знак"/>
    <w:basedOn w:val="a0"/>
    <w:link w:val="a7"/>
    <w:uiPriority w:val="99"/>
    <w:semiHidden/>
    <w:rsid w:val="009601CF"/>
    <w:rPr>
      <w:rFonts w:ascii="Times New Roman" w:eastAsia="Times New Roman" w:hAnsi="Times New Roman" w:cs="Times New Roman"/>
      <w:sz w:val="24"/>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80ADC"/>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80ADC"/>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18</cp:revision>
  <dcterms:created xsi:type="dcterms:W3CDTF">2015-05-20T14:57:00Z</dcterms:created>
  <dcterms:modified xsi:type="dcterms:W3CDTF">2017-04-24T13:20:00Z</dcterms:modified>
</cp:coreProperties>
</file>