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ADF" w:rsidRPr="00A55044" w:rsidRDefault="00F52ADF" w:rsidP="00F52ADF">
      <w:pPr>
        <w:jc w:val="center"/>
        <w:rPr>
          <w:b/>
        </w:rPr>
      </w:pPr>
      <w:r>
        <w:rPr>
          <w:b/>
          <w:sz w:val="32"/>
          <w:szCs w:val="32"/>
        </w:rPr>
        <w:t>ПРОТОКОЛ</w:t>
      </w:r>
      <w:r w:rsidRPr="00920A5A">
        <w:rPr>
          <w:b/>
          <w:sz w:val="32"/>
          <w:szCs w:val="32"/>
        </w:rPr>
        <w:t xml:space="preserve"> № </w:t>
      </w:r>
      <w:r>
        <w:rPr>
          <w:b/>
          <w:sz w:val="32"/>
          <w:szCs w:val="32"/>
        </w:rPr>
        <w:t>022/ТВРЗ/ЭГ</w:t>
      </w:r>
    </w:p>
    <w:p w:rsidR="00F52ADF" w:rsidRDefault="00F52ADF" w:rsidP="00F52ADF">
      <w:pPr>
        <w:jc w:val="center"/>
        <w:rPr>
          <w:b/>
          <w:sz w:val="32"/>
          <w:szCs w:val="32"/>
        </w:rPr>
      </w:pPr>
      <w:r w:rsidRPr="00920A5A">
        <w:rPr>
          <w:b/>
          <w:sz w:val="32"/>
          <w:szCs w:val="32"/>
        </w:rPr>
        <w:t xml:space="preserve">заседания </w:t>
      </w:r>
      <w:r>
        <w:rPr>
          <w:b/>
          <w:sz w:val="32"/>
          <w:szCs w:val="32"/>
        </w:rPr>
        <w:t>э</w:t>
      </w:r>
      <w:r w:rsidRPr="00920A5A">
        <w:rPr>
          <w:b/>
          <w:sz w:val="32"/>
          <w:szCs w:val="32"/>
        </w:rPr>
        <w:t xml:space="preserve">кспертной группы </w:t>
      </w:r>
      <w:r>
        <w:rPr>
          <w:b/>
          <w:sz w:val="32"/>
          <w:szCs w:val="32"/>
        </w:rPr>
        <w:t>по рассмотрению конкурсных заявок, представленных для участия в открытом конкурсе</w:t>
      </w:r>
    </w:p>
    <w:p w:rsidR="00F52ADF" w:rsidRPr="00920A5A" w:rsidRDefault="00F52ADF" w:rsidP="00F52ADF">
      <w:pPr>
        <w:jc w:val="center"/>
        <w:rPr>
          <w:b/>
          <w:sz w:val="32"/>
          <w:szCs w:val="32"/>
        </w:rPr>
      </w:pPr>
      <w:r>
        <w:rPr>
          <w:b/>
          <w:sz w:val="32"/>
          <w:szCs w:val="32"/>
        </w:rPr>
        <w:t>№022/ТВРЗ/2017</w:t>
      </w:r>
    </w:p>
    <w:p w:rsidR="00F52ADF" w:rsidRDefault="00F52ADF" w:rsidP="00F52ADF">
      <w:pPr>
        <w:tabs>
          <w:tab w:val="left" w:pos="6663"/>
        </w:tabs>
        <w:jc w:val="center"/>
        <w:rPr>
          <w:sz w:val="28"/>
          <w:szCs w:val="28"/>
        </w:rPr>
      </w:pPr>
    </w:p>
    <w:p w:rsidR="00F52ADF" w:rsidRPr="00920A5A" w:rsidRDefault="00F52ADF" w:rsidP="00F52ADF">
      <w:pPr>
        <w:tabs>
          <w:tab w:val="left" w:pos="6663"/>
        </w:tabs>
        <w:jc w:val="both"/>
        <w:rPr>
          <w:sz w:val="28"/>
          <w:szCs w:val="28"/>
        </w:rPr>
      </w:pPr>
      <w:r w:rsidRPr="00920A5A">
        <w:rPr>
          <w:sz w:val="28"/>
          <w:szCs w:val="28"/>
        </w:rPr>
        <w:t xml:space="preserve">г. </w:t>
      </w:r>
      <w:r>
        <w:rPr>
          <w:sz w:val="28"/>
          <w:szCs w:val="28"/>
        </w:rPr>
        <w:t>Тамбов</w:t>
      </w:r>
      <w:r w:rsidRPr="00920A5A">
        <w:rPr>
          <w:sz w:val="28"/>
          <w:szCs w:val="28"/>
        </w:rPr>
        <w:tab/>
      </w:r>
      <w:r>
        <w:rPr>
          <w:sz w:val="28"/>
          <w:szCs w:val="28"/>
        </w:rPr>
        <w:t xml:space="preserve">     </w:t>
      </w:r>
      <w:r w:rsidRPr="002C3204">
        <w:rPr>
          <w:sz w:val="28"/>
          <w:szCs w:val="28"/>
        </w:rPr>
        <w:t>«</w:t>
      </w:r>
      <w:r>
        <w:rPr>
          <w:sz w:val="28"/>
          <w:szCs w:val="28"/>
        </w:rPr>
        <w:t>29</w:t>
      </w:r>
      <w:r w:rsidRPr="002C3204">
        <w:rPr>
          <w:sz w:val="28"/>
          <w:szCs w:val="28"/>
        </w:rPr>
        <w:t>»</w:t>
      </w:r>
      <w:r w:rsidR="00D04534">
        <w:rPr>
          <w:sz w:val="28"/>
          <w:szCs w:val="28"/>
        </w:rPr>
        <w:t xml:space="preserve"> </w:t>
      </w:r>
      <w:r>
        <w:rPr>
          <w:sz w:val="28"/>
          <w:szCs w:val="28"/>
        </w:rPr>
        <w:t xml:space="preserve">января </w:t>
      </w:r>
      <w:r w:rsidRPr="00920A5A">
        <w:rPr>
          <w:sz w:val="28"/>
          <w:szCs w:val="28"/>
        </w:rPr>
        <w:t>20</w:t>
      </w:r>
      <w:r>
        <w:rPr>
          <w:sz w:val="28"/>
          <w:szCs w:val="28"/>
        </w:rPr>
        <w:t xml:space="preserve">18 </w:t>
      </w:r>
      <w:r w:rsidRPr="00920A5A">
        <w:rPr>
          <w:sz w:val="28"/>
          <w:szCs w:val="28"/>
        </w:rPr>
        <w:t>г.</w:t>
      </w:r>
    </w:p>
    <w:p w:rsidR="00F52ADF" w:rsidRDefault="00F52ADF" w:rsidP="00F52ADF">
      <w:pPr>
        <w:jc w:val="both"/>
        <w:rPr>
          <w:sz w:val="28"/>
          <w:u w:val="single"/>
        </w:rPr>
      </w:pPr>
    </w:p>
    <w:p w:rsidR="00F52ADF" w:rsidRDefault="00F52ADF" w:rsidP="00F52ADF">
      <w:pPr>
        <w:jc w:val="both"/>
        <w:rPr>
          <w:sz w:val="28"/>
          <w:u w:val="single"/>
        </w:rPr>
      </w:pPr>
      <w:r>
        <w:rPr>
          <w:sz w:val="28"/>
          <w:u w:val="single"/>
        </w:rPr>
        <w:t>Присутствовали:</w:t>
      </w:r>
    </w:p>
    <w:p w:rsidR="00F52ADF" w:rsidRDefault="00F52ADF" w:rsidP="00F52ADF">
      <w:pPr>
        <w:rPr>
          <w:sz w:val="28"/>
        </w:rPr>
      </w:pPr>
      <w:r w:rsidRPr="00DD1BE3">
        <w:rPr>
          <w:sz w:val="28"/>
        </w:rPr>
        <w:t>Руководитель экспертной группы</w:t>
      </w:r>
    </w:p>
    <w:p w:rsidR="00F52ADF" w:rsidRDefault="00F52ADF" w:rsidP="00F52ADF">
      <w:pPr>
        <w:tabs>
          <w:tab w:val="left" w:pos="7020"/>
        </w:tabs>
        <w:rPr>
          <w:sz w:val="28"/>
          <w:szCs w:val="28"/>
        </w:rPr>
      </w:pPr>
      <w:r>
        <w:rPr>
          <w:sz w:val="28"/>
          <w:szCs w:val="28"/>
        </w:rPr>
        <w:t>Члены экспертной группы:</w:t>
      </w:r>
    </w:p>
    <w:p w:rsidR="00F52ADF" w:rsidRPr="007C1BE8" w:rsidRDefault="00F52ADF" w:rsidP="00F52ADF">
      <w:pPr>
        <w:tabs>
          <w:tab w:val="left" w:pos="7020"/>
        </w:tabs>
        <w:rPr>
          <w:b/>
          <w:sz w:val="28"/>
          <w:szCs w:val="28"/>
          <w:u w:val="single"/>
        </w:rPr>
      </w:pPr>
      <w:r>
        <w:rPr>
          <w:sz w:val="28"/>
          <w:szCs w:val="28"/>
        </w:rPr>
        <w:tab/>
        <w:t xml:space="preserve"> </w:t>
      </w:r>
      <w:r>
        <w:rPr>
          <w:sz w:val="28"/>
          <w:szCs w:val="28"/>
        </w:rPr>
        <w:tab/>
      </w:r>
    </w:p>
    <w:p w:rsidR="00F52ADF" w:rsidRDefault="00F52ADF" w:rsidP="00F52ADF">
      <w:pPr>
        <w:jc w:val="center"/>
        <w:outlineLvl w:val="0"/>
        <w:rPr>
          <w:b/>
          <w:sz w:val="28"/>
          <w:szCs w:val="28"/>
          <w:u w:val="single"/>
        </w:rPr>
      </w:pPr>
      <w:r w:rsidRPr="00920A5A">
        <w:rPr>
          <w:b/>
          <w:sz w:val="28"/>
          <w:szCs w:val="28"/>
          <w:u w:val="single"/>
        </w:rPr>
        <w:t>Повестка дня</w:t>
      </w:r>
    </w:p>
    <w:p w:rsidR="00F52ADF" w:rsidRPr="0062152A" w:rsidRDefault="00F52ADF" w:rsidP="00F52ADF">
      <w:pPr>
        <w:jc w:val="center"/>
        <w:outlineLvl w:val="0"/>
        <w:rPr>
          <w:b/>
          <w:sz w:val="22"/>
          <w:szCs w:val="22"/>
          <w:u w:val="single"/>
        </w:rPr>
      </w:pPr>
    </w:p>
    <w:p w:rsidR="00F52ADF" w:rsidRDefault="00F52ADF" w:rsidP="00F52ADF">
      <w:pPr>
        <w:pStyle w:val="11"/>
        <w:numPr>
          <w:ilvl w:val="0"/>
          <w:numId w:val="2"/>
        </w:numPr>
        <w:ind w:left="0" w:firstLine="709"/>
        <w:rPr>
          <w:szCs w:val="28"/>
        </w:rPr>
      </w:pPr>
      <w:r w:rsidRPr="00AD298A">
        <w:rPr>
          <w:szCs w:val="28"/>
        </w:rPr>
        <w:t>Рассмотрение конкурсных</w:t>
      </w:r>
      <w:r w:rsidRPr="00AD298A">
        <w:rPr>
          <w:i/>
          <w:szCs w:val="28"/>
        </w:rPr>
        <w:t xml:space="preserve"> </w:t>
      </w:r>
      <w:r w:rsidRPr="00AD298A">
        <w:rPr>
          <w:szCs w:val="28"/>
        </w:rPr>
        <w:t>заявок, представленных для участия в открытом конкурсе №</w:t>
      </w:r>
      <w:r>
        <w:rPr>
          <w:szCs w:val="28"/>
        </w:rPr>
        <w:t>022</w:t>
      </w:r>
      <w:r w:rsidRPr="00AD298A">
        <w:rPr>
          <w:szCs w:val="28"/>
        </w:rPr>
        <w:t>/ТВРЗ/201</w:t>
      </w:r>
      <w:r>
        <w:rPr>
          <w:szCs w:val="28"/>
        </w:rPr>
        <w:t>7</w:t>
      </w:r>
      <w:r w:rsidRPr="00AD298A">
        <w:rPr>
          <w:color w:val="000000"/>
          <w:szCs w:val="28"/>
        </w:rPr>
        <w:t xml:space="preserve"> </w:t>
      </w:r>
      <w:r w:rsidRPr="006444F9">
        <w:rPr>
          <w:color w:val="000000"/>
          <w:szCs w:val="28"/>
        </w:rPr>
        <w:t xml:space="preserve">на право заключения </w:t>
      </w:r>
      <w:proofErr w:type="gramStart"/>
      <w:r w:rsidRPr="006444F9">
        <w:rPr>
          <w:color w:val="000000"/>
          <w:szCs w:val="28"/>
        </w:rPr>
        <w:t>договора</w:t>
      </w:r>
      <w:proofErr w:type="gramEnd"/>
      <w:r w:rsidRPr="006444F9">
        <w:rPr>
          <w:color w:val="000000"/>
          <w:szCs w:val="28"/>
        </w:rPr>
        <w:t xml:space="preserve"> </w:t>
      </w:r>
      <w:r w:rsidRPr="006444F9">
        <w:rPr>
          <w:szCs w:val="28"/>
        </w:rPr>
        <w:t xml:space="preserve">на оказание услуг по проведению периодического, </w:t>
      </w:r>
      <w:proofErr w:type="spellStart"/>
      <w:r w:rsidRPr="006444F9">
        <w:rPr>
          <w:bCs/>
          <w:szCs w:val="28"/>
        </w:rPr>
        <w:t>предрейсового</w:t>
      </w:r>
      <w:proofErr w:type="spellEnd"/>
      <w:r w:rsidRPr="006444F9">
        <w:rPr>
          <w:bCs/>
          <w:szCs w:val="28"/>
        </w:rPr>
        <w:t xml:space="preserve"> и </w:t>
      </w:r>
      <w:proofErr w:type="spellStart"/>
      <w:r w:rsidRPr="006444F9">
        <w:rPr>
          <w:bCs/>
          <w:szCs w:val="28"/>
        </w:rPr>
        <w:t>послерейсового</w:t>
      </w:r>
      <w:proofErr w:type="spellEnd"/>
      <w:r w:rsidRPr="006444F9">
        <w:rPr>
          <w:szCs w:val="28"/>
        </w:rPr>
        <w:t xml:space="preserve"> медицинских осмотров работников, организацию круглосуточной работы фельдшерского пункта на территории Тамбовского ВРЗ АО «ВРМ</w:t>
      </w:r>
      <w:r>
        <w:rPr>
          <w:szCs w:val="28"/>
        </w:rPr>
        <w:t>» в 2018-2019 г.г.</w:t>
      </w:r>
    </w:p>
    <w:p w:rsidR="00F52ADF" w:rsidRPr="002C0BB1" w:rsidRDefault="00F52ADF" w:rsidP="00F52ADF">
      <w:pPr>
        <w:pStyle w:val="a3"/>
        <w:numPr>
          <w:ilvl w:val="0"/>
          <w:numId w:val="2"/>
        </w:numPr>
        <w:tabs>
          <w:tab w:val="left" w:pos="1276"/>
        </w:tabs>
        <w:ind w:left="0" w:firstLine="709"/>
        <w:jc w:val="both"/>
        <w:rPr>
          <w:sz w:val="28"/>
          <w:szCs w:val="28"/>
        </w:rPr>
      </w:pPr>
      <w:r w:rsidRPr="002C0BB1">
        <w:rPr>
          <w:sz w:val="28"/>
          <w:szCs w:val="28"/>
        </w:rPr>
        <w:t>Оценка заявок участников открытого конкурса №022</w:t>
      </w:r>
      <w:r w:rsidRPr="002C0BB1">
        <w:rPr>
          <w:rFonts w:eastAsia="MS Mincho"/>
          <w:sz w:val="28"/>
          <w:szCs w:val="28"/>
        </w:rPr>
        <w:t>/ТВРЗ/2017</w:t>
      </w:r>
    </w:p>
    <w:p w:rsidR="00F52ADF" w:rsidRDefault="00F52ADF" w:rsidP="00F52ADF">
      <w:pPr>
        <w:ind w:firstLine="709"/>
        <w:jc w:val="both"/>
        <w:rPr>
          <w:sz w:val="28"/>
          <w:szCs w:val="28"/>
        </w:rPr>
      </w:pPr>
      <w:r>
        <w:rPr>
          <w:sz w:val="28"/>
          <w:szCs w:val="28"/>
        </w:rPr>
        <w:t xml:space="preserve">3. </w:t>
      </w:r>
      <w:r w:rsidRPr="002C3204">
        <w:rPr>
          <w:sz w:val="28"/>
          <w:szCs w:val="28"/>
        </w:rPr>
        <w:t xml:space="preserve">Подготовка предложений в </w:t>
      </w:r>
      <w:r w:rsidRPr="004F3324">
        <w:rPr>
          <w:sz w:val="28"/>
          <w:szCs w:val="28"/>
        </w:rPr>
        <w:t xml:space="preserve">Конкурсную комиссию </w:t>
      </w:r>
      <w:r>
        <w:rPr>
          <w:sz w:val="28"/>
          <w:szCs w:val="28"/>
        </w:rPr>
        <w:t xml:space="preserve">Тамбовского </w:t>
      </w:r>
      <w:r w:rsidRPr="006E38B7">
        <w:rPr>
          <w:sz w:val="28"/>
          <w:szCs w:val="28"/>
        </w:rPr>
        <w:t>ВРЗ</w:t>
      </w:r>
      <w:r>
        <w:rPr>
          <w:sz w:val="28"/>
          <w:szCs w:val="28"/>
        </w:rPr>
        <w:t xml:space="preserve"> АО «ВРМ» </w:t>
      </w:r>
      <w:r w:rsidRPr="006E38B7">
        <w:rPr>
          <w:sz w:val="28"/>
          <w:szCs w:val="28"/>
        </w:rPr>
        <w:t>по итогам</w:t>
      </w:r>
      <w:r>
        <w:rPr>
          <w:sz w:val="28"/>
          <w:szCs w:val="28"/>
        </w:rPr>
        <w:t xml:space="preserve"> открытого конкурса №022/ТВРЗ/2017.</w:t>
      </w:r>
    </w:p>
    <w:p w:rsidR="00F52ADF" w:rsidRPr="006E38B7" w:rsidRDefault="00F52ADF" w:rsidP="00F52ADF">
      <w:pPr>
        <w:ind w:firstLine="709"/>
        <w:jc w:val="both"/>
        <w:rPr>
          <w:sz w:val="28"/>
          <w:szCs w:val="28"/>
        </w:rPr>
      </w:pPr>
    </w:p>
    <w:p w:rsidR="00F52ADF" w:rsidRDefault="00F52ADF" w:rsidP="00F52ADF">
      <w:pPr>
        <w:pStyle w:val="1"/>
        <w:tabs>
          <w:tab w:val="clear" w:pos="3630"/>
          <w:tab w:val="left" w:pos="720"/>
        </w:tabs>
        <w:jc w:val="center"/>
      </w:pPr>
      <w:r w:rsidRPr="002C3204">
        <w:t>По пункту 1 повестки дня</w:t>
      </w:r>
    </w:p>
    <w:p w:rsidR="00F52ADF" w:rsidRPr="004A2587" w:rsidRDefault="00F52ADF" w:rsidP="00F52ADF"/>
    <w:p w:rsidR="00F52ADF" w:rsidRPr="00AD5A1C" w:rsidRDefault="00F52ADF" w:rsidP="00F52ADF">
      <w:pPr>
        <w:numPr>
          <w:ilvl w:val="1"/>
          <w:numId w:val="1"/>
        </w:numPr>
        <w:ind w:left="0" w:firstLine="709"/>
        <w:jc w:val="both"/>
        <w:rPr>
          <w:sz w:val="28"/>
          <w:szCs w:val="28"/>
        </w:rPr>
      </w:pPr>
      <w:r>
        <w:rPr>
          <w:sz w:val="28"/>
          <w:szCs w:val="28"/>
        </w:rPr>
        <w:t xml:space="preserve">Тамбовским </w:t>
      </w:r>
      <w:r w:rsidRPr="00F452DB">
        <w:rPr>
          <w:sz w:val="28"/>
          <w:szCs w:val="28"/>
        </w:rPr>
        <w:t xml:space="preserve">ВРЗ АО «ВРМ» проведен </w:t>
      </w:r>
      <w:r>
        <w:rPr>
          <w:sz w:val="28"/>
          <w:szCs w:val="28"/>
        </w:rPr>
        <w:t>открытый конкурс</w:t>
      </w:r>
      <w:r w:rsidRPr="00F452DB">
        <w:rPr>
          <w:b/>
          <w:i/>
          <w:sz w:val="28"/>
          <w:szCs w:val="28"/>
        </w:rPr>
        <w:t xml:space="preserve"> </w:t>
      </w:r>
      <w:r>
        <w:rPr>
          <w:sz w:val="28"/>
          <w:szCs w:val="28"/>
        </w:rPr>
        <w:t>№022/ТВРЗ/2017.</w:t>
      </w:r>
    </w:p>
    <w:p w:rsidR="00F52ADF" w:rsidRDefault="00F52ADF" w:rsidP="00F52ADF">
      <w:pPr>
        <w:jc w:val="both"/>
        <w:outlineLvl w:val="0"/>
        <w:rPr>
          <w:sz w:val="28"/>
          <w:szCs w:val="28"/>
        </w:rPr>
      </w:pPr>
      <w:r>
        <w:rPr>
          <w:color w:val="FF0000"/>
          <w:sz w:val="28"/>
          <w:szCs w:val="28"/>
        </w:rPr>
        <w:t xml:space="preserve">         </w:t>
      </w:r>
      <w:r w:rsidRPr="00213F64">
        <w:rPr>
          <w:sz w:val="28"/>
          <w:szCs w:val="28"/>
        </w:rPr>
        <w:t xml:space="preserve"> </w:t>
      </w:r>
      <w:r>
        <w:rPr>
          <w:sz w:val="28"/>
          <w:szCs w:val="28"/>
        </w:rPr>
        <w:t xml:space="preserve">Конкурсные </w:t>
      </w:r>
      <w:r w:rsidRPr="00213F64">
        <w:rPr>
          <w:sz w:val="28"/>
          <w:szCs w:val="28"/>
        </w:rPr>
        <w:t>заявки пода</w:t>
      </w:r>
      <w:r>
        <w:rPr>
          <w:sz w:val="28"/>
          <w:szCs w:val="28"/>
        </w:rPr>
        <w:t>вались</w:t>
      </w:r>
      <w:r w:rsidRPr="00213F64">
        <w:rPr>
          <w:sz w:val="28"/>
          <w:szCs w:val="28"/>
        </w:rPr>
        <w:t xml:space="preserve"> </w:t>
      </w:r>
      <w:r>
        <w:rPr>
          <w:sz w:val="28"/>
          <w:szCs w:val="28"/>
        </w:rPr>
        <w:t xml:space="preserve">участниками </w:t>
      </w:r>
      <w:r w:rsidRPr="00213F64">
        <w:rPr>
          <w:sz w:val="28"/>
          <w:szCs w:val="28"/>
        </w:rPr>
        <w:t>в письменной фор</w:t>
      </w:r>
      <w:r>
        <w:rPr>
          <w:sz w:val="28"/>
          <w:szCs w:val="28"/>
        </w:rPr>
        <w:t xml:space="preserve">ме в запечатанных конвертах до 17.00 </w:t>
      </w:r>
      <w:r w:rsidRPr="00213F64">
        <w:rPr>
          <w:sz w:val="28"/>
          <w:szCs w:val="28"/>
        </w:rPr>
        <w:t xml:space="preserve">часов </w:t>
      </w:r>
      <w:r w:rsidRPr="00AD5A1C">
        <w:rPr>
          <w:sz w:val="28"/>
          <w:szCs w:val="28"/>
        </w:rPr>
        <w:t xml:space="preserve">московского </w:t>
      </w:r>
      <w:r>
        <w:rPr>
          <w:sz w:val="28"/>
          <w:szCs w:val="28"/>
        </w:rPr>
        <w:t>времени «26» января 2018г.</w:t>
      </w:r>
      <w:r w:rsidRPr="00BC34DA">
        <w:rPr>
          <w:sz w:val="28"/>
          <w:szCs w:val="28"/>
        </w:rPr>
        <w:t xml:space="preserve"> </w:t>
      </w:r>
    </w:p>
    <w:p w:rsidR="00F52ADF" w:rsidRPr="005610F0" w:rsidRDefault="00F52ADF" w:rsidP="00F52ADF">
      <w:pPr>
        <w:ind w:firstLine="709"/>
        <w:jc w:val="both"/>
        <w:rPr>
          <w:sz w:val="28"/>
          <w:szCs w:val="28"/>
        </w:rPr>
      </w:pPr>
      <w:r w:rsidRPr="002C3204">
        <w:rPr>
          <w:sz w:val="28"/>
        </w:rPr>
        <w:t>К</w:t>
      </w:r>
      <w:r w:rsidRPr="002C3204">
        <w:rPr>
          <w:sz w:val="28"/>
          <w:szCs w:val="28"/>
        </w:rPr>
        <w:t xml:space="preserve"> установленному сроку</w:t>
      </w:r>
      <w:r>
        <w:rPr>
          <w:sz w:val="28"/>
          <w:szCs w:val="28"/>
        </w:rPr>
        <w:t xml:space="preserve"> </w:t>
      </w:r>
      <w:r w:rsidRPr="002C3204">
        <w:rPr>
          <w:sz w:val="28"/>
          <w:szCs w:val="28"/>
        </w:rPr>
        <w:t xml:space="preserve">поступили </w:t>
      </w:r>
      <w:r>
        <w:rPr>
          <w:sz w:val="28"/>
          <w:szCs w:val="28"/>
        </w:rPr>
        <w:t>3 (три) конкурсные заявки</w:t>
      </w:r>
      <w:r w:rsidRPr="002C3204">
        <w:rPr>
          <w:sz w:val="28"/>
          <w:szCs w:val="28"/>
        </w:rPr>
        <w:t xml:space="preserve"> от </w:t>
      </w:r>
      <w:r>
        <w:rPr>
          <w:sz w:val="28"/>
          <w:szCs w:val="28"/>
        </w:rPr>
        <w:t>следующих претендентов</w:t>
      </w:r>
      <w:r w:rsidRPr="002C3204">
        <w:rPr>
          <w:sz w:val="28"/>
          <w:szCs w:val="28"/>
        </w:rPr>
        <w:t>:</w:t>
      </w:r>
    </w:p>
    <w:p w:rsidR="00F52ADF" w:rsidRDefault="00F52ADF" w:rsidP="00F52ADF">
      <w:pPr>
        <w:pStyle w:val="11"/>
        <w:ind w:firstLine="708"/>
        <w:rPr>
          <w:szCs w:val="28"/>
        </w:rPr>
      </w:pPr>
      <w:r>
        <w:rPr>
          <w:szCs w:val="28"/>
        </w:rPr>
        <w:t>- НУЗ «Отделенческая больница на станции Мичуринск-Уральский ОАО «РЖД», ИНН 6827014547  г. Мичуринск.</w:t>
      </w:r>
    </w:p>
    <w:p w:rsidR="00F52ADF" w:rsidRDefault="00F52ADF" w:rsidP="00F52ADF">
      <w:pPr>
        <w:pStyle w:val="11"/>
        <w:ind w:firstLine="708"/>
        <w:rPr>
          <w:szCs w:val="28"/>
        </w:rPr>
      </w:pPr>
      <w:r>
        <w:rPr>
          <w:szCs w:val="28"/>
        </w:rPr>
        <w:t>- Общество с ограниченной ответственностью «ПЕРВЫЙ МЕДИЦИНСКИЙ ЦЕНТР», ИНН 6829095083 г. Тамбов.</w:t>
      </w:r>
    </w:p>
    <w:p w:rsidR="00F52ADF" w:rsidRPr="00414EF0" w:rsidRDefault="00F52ADF" w:rsidP="00F52ADF">
      <w:pPr>
        <w:pStyle w:val="11"/>
        <w:rPr>
          <w:szCs w:val="28"/>
        </w:rPr>
      </w:pPr>
      <w:r w:rsidRPr="00414EF0">
        <w:rPr>
          <w:szCs w:val="28"/>
        </w:rPr>
        <w:t>- Общество с ограниченной ответственностью «Медицина», ИНН 6829106144 г. Тамбов.</w:t>
      </w:r>
    </w:p>
    <w:p w:rsidR="00F52ADF" w:rsidRDefault="00F52ADF" w:rsidP="00F52ADF">
      <w:pPr>
        <w:pStyle w:val="a3"/>
        <w:numPr>
          <w:ilvl w:val="1"/>
          <w:numId w:val="1"/>
        </w:numPr>
        <w:ind w:left="0" w:firstLine="709"/>
        <w:jc w:val="both"/>
        <w:rPr>
          <w:sz w:val="28"/>
          <w:szCs w:val="28"/>
        </w:rPr>
      </w:pPr>
      <w:r w:rsidRPr="00055E52">
        <w:rPr>
          <w:sz w:val="28"/>
          <w:szCs w:val="28"/>
        </w:rPr>
        <w:t>По итогам рассмотрения представленных заявок для участия в открытом конкурсе №</w:t>
      </w:r>
      <w:r>
        <w:rPr>
          <w:sz w:val="28"/>
          <w:szCs w:val="28"/>
        </w:rPr>
        <w:t>022</w:t>
      </w:r>
      <w:r w:rsidRPr="00055E52">
        <w:rPr>
          <w:sz w:val="28"/>
          <w:szCs w:val="28"/>
        </w:rPr>
        <w:t>/ТВРЗ/201</w:t>
      </w:r>
      <w:r>
        <w:rPr>
          <w:sz w:val="28"/>
          <w:szCs w:val="28"/>
        </w:rPr>
        <w:t>7</w:t>
      </w:r>
      <w:r w:rsidRPr="00055E52">
        <w:rPr>
          <w:rFonts w:eastAsia="MS Mincho"/>
          <w:sz w:val="28"/>
          <w:szCs w:val="28"/>
        </w:rPr>
        <w:t xml:space="preserve"> </w:t>
      </w:r>
      <w:r w:rsidRPr="00055E52">
        <w:rPr>
          <w:sz w:val="28"/>
          <w:szCs w:val="28"/>
        </w:rPr>
        <w:t>допускаются и признаются участниками открытого конкурса №</w:t>
      </w:r>
      <w:r>
        <w:rPr>
          <w:rFonts w:eastAsia="MS Mincho"/>
          <w:sz w:val="28"/>
          <w:szCs w:val="28"/>
        </w:rPr>
        <w:t>022</w:t>
      </w:r>
      <w:r w:rsidRPr="00055E52">
        <w:rPr>
          <w:rFonts w:eastAsia="MS Mincho"/>
          <w:sz w:val="28"/>
          <w:szCs w:val="28"/>
        </w:rPr>
        <w:t>/ТВРЗ/201</w:t>
      </w:r>
      <w:r>
        <w:rPr>
          <w:rFonts w:eastAsia="MS Mincho"/>
          <w:sz w:val="28"/>
          <w:szCs w:val="28"/>
        </w:rPr>
        <w:t>7</w:t>
      </w:r>
      <w:r w:rsidRPr="00055E52">
        <w:rPr>
          <w:rFonts w:eastAsia="MS Mincho"/>
          <w:sz w:val="28"/>
          <w:szCs w:val="28"/>
        </w:rPr>
        <w:t xml:space="preserve"> </w:t>
      </w:r>
      <w:r w:rsidRPr="00055E52">
        <w:rPr>
          <w:sz w:val="28"/>
          <w:szCs w:val="28"/>
        </w:rPr>
        <w:t>следующие претенденты:</w:t>
      </w:r>
    </w:p>
    <w:p w:rsidR="00F52ADF" w:rsidRPr="00406F07" w:rsidRDefault="00F52ADF" w:rsidP="00F52ADF">
      <w:pPr>
        <w:pStyle w:val="a3"/>
        <w:ind w:left="0" w:firstLine="709"/>
        <w:jc w:val="both"/>
        <w:rPr>
          <w:sz w:val="28"/>
          <w:szCs w:val="28"/>
        </w:rPr>
      </w:pPr>
      <w:r>
        <w:rPr>
          <w:sz w:val="28"/>
          <w:szCs w:val="28"/>
        </w:rPr>
        <w:t xml:space="preserve">- </w:t>
      </w:r>
      <w:r w:rsidRPr="00406F07">
        <w:rPr>
          <w:sz w:val="28"/>
          <w:szCs w:val="28"/>
        </w:rPr>
        <w:t>НУЗ «Отделенческая больница на станции Мичуринск-Уральский ОАО «РЖД», ИНН 6827014547  г. Мичуринск.</w:t>
      </w:r>
    </w:p>
    <w:p w:rsidR="00F52ADF" w:rsidRPr="00406F07" w:rsidRDefault="00F52ADF" w:rsidP="00F52ADF">
      <w:pPr>
        <w:pStyle w:val="11"/>
        <w:ind w:firstLine="426"/>
        <w:rPr>
          <w:szCs w:val="28"/>
        </w:rPr>
      </w:pPr>
      <w:r w:rsidRPr="00406F07">
        <w:rPr>
          <w:szCs w:val="28"/>
        </w:rPr>
        <w:t xml:space="preserve">    - Общество с ограниченной ответственностью «ПЕРВЫЙ МЕДИЦИНСКИЙ ЦЕНТР», ИНН 6829095083 г. Тамбов.</w:t>
      </w:r>
    </w:p>
    <w:p w:rsidR="00F52ADF" w:rsidRPr="00406F07" w:rsidRDefault="00F52ADF" w:rsidP="00F52ADF">
      <w:pPr>
        <w:pStyle w:val="a3"/>
        <w:spacing w:before="120" w:line="276" w:lineRule="auto"/>
        <w:ind w:left="0" w:firstLine="709"/>
        <w:jc w:val="both"/>
        <w:rPr>
          <w:sz w:val="28"/>
          <w:szCs w:val="28"/>
          <w:lang w:eastAsia="en-US"/>
        </w:rPr>
      </w:pPr>
      <w:r w:rsidRPr="00406F07">
        <w:rPr>
          <w:sz w:val="28"/>
          <w:szCs w:val="28"/>
        </w:rPr>
        <w:t xml:space="preserve">В допуске к участию </w:t>
      </w:r>
      <w:r w:rsidRPr="00406F07">
        <w:rPr>
          <w:sz w:val="28"/>
          <w:szCs w:val="28"/>
          <w:lang w:eastAsia="en-US"/>
        </w:rPr>
        <w:t>в открытом конкурсе отказано следующим претендентам:</w:t>
      </w:r>
    </w:p>
    <w:p w:rsidR="00F52ADF" w:rsidRPr="00406F07" w:rsidRDefault="00F52ADF" w:rsidP="00F52ADF">
      <w:pPr>
        <w:pStyle w:val="a3"/>
        <w:spacing w:before="120"/>
        <w:ind w:left="0" w:firstLine="709"/>
        <w:jc w:val="both"/>
        <w:outlineLvl w:val="2"/>
        <w:rPr>
          <w:sz w:val="28"/>
          <w:szCs w:val="28"/>
        </w:rPr>
      </w:pPr>
      <w:r w:rsidRPr="00406F07">
        <w:rPr>
          <w:sz w:val="28"/>
          <w:szCs w:val="28"/>
        </w:rPr>
        <w:t>- Общество с ограниченной ответственностью «Медицина», ИНН 6829106144 г. Тамбов,</w:t>
      </w:r>
      <w:r w:rsidRPr="00406F07">
        <w:rPr>
          <w:bCs/>
          <w:sz w:val="28"/>
          <w:szCs w:val="28"/>
        </w:rPr>
        <w:t xml:space="preserve"> в связи с несоответствием требованиям, установленным п.</w:t>
      </w:r>
      <w:r w:rsidRPr="00406F07">
        <w:rPr>
          <w:sz w:val="28"/>
          <w:szCs w:val="28"/>
        </w:rPr>
        <w:t xml:space="preserve"> 3.1.1, 3.1.4  конкурсной документации.</w:t>
      </w:r>
    </w:p>
    <w:p w:rsidR="00F52ADF" w:rsidRPr="00414EF0" w:rsidRDefault="00F52ADF" w:rsidP="00F52ADF">
      <w:pPr>
        <w:pStyle w:val="11"/>
        <w:rPr>
          <w:szCs w:val="28"/>
        </w:rPr>
      </w:pPr>
    </w:p>
    <w:p w:rsidR="00F52ADF" w:rsidRPr="004C19AD" w:rsidRDefault="00F52ADF" w:rsidP="00F52ADF">
      <w:pPr>
        <w:pStyle w:val="11"/>
        <w:ind w:left="709" w:firstLine="142"/>
        <w:rPr>
          <w:color w:val="FF0000"/>
          <w:szCs w:val="28"/>
        </w:rPr>
      </w:pPr>
    </w:p>
    <w:p w:rsidR="00F52ADF" w:rsidRDefault="00F52ADF" w:rsidP="00F52ADF">
      <w:pPr>
        <w:spacing w:line="300" w:lineRule="exact"/>
        <w:ind w:left="686"/>
        <w:jc w:val="center"/>
        <w:rPr>
          <w:b/>
          <w:sz w:val="28"/>
          <w:u w:val="single"/>
        </w:rPr>
      </w:pPr>
      <w:r>
        <w:rPr>
          <w:b/>
          <w:sz w:val="28"/>
          <w:u w:val="single"/>
        </w:rPr>
        <w:t>По пункту 2 повестки дня</w:t>
      </w:r>
    </w:p>
    <w:p w:rsidR="00F52ADF" w:rsidRDefault="00F52ADF" w:rsidP="00F52ADF">
      <w:pPr>
        <w:spacing w:line="300" w:lineRule="exact"/>
        <w:ind w:left="686"/>
        <w:jc w:val="center"/>
        <w:rPr>
          <w:b/>
          <w:sz w:val="28"/>
          <w:u w:val="single"/>
        </w:rPr>
      </w:pPr>
    </w:p>
    <w:p w:rsidR="00F52ADF" w:rsidRPr="00406F07" w:rsidRDefault="00F52ADF" w:rsidP="00F52ADF">
      <w:pPr>
        <w:numPr>
          <w:ilvl w:val="1"/>
          <w:numId w:val="3"/>
        </w:numPr>
        <w:ind w:left="0" w:firstLine="709"/>
        <w:jc w:val="both"/>
        <w:outlineLvl w:val="0"/>
        <w:rPr>
          <w:sz w:val="28"/>
          <w:szCs w:val="28"/>
        </w:rPr>
      </w:pPr>
      <w:r w:rsidRPr="00406F07">
        <w:rPr>
          <w:sz w:val="28"/>
          <w:szCs w:val="28"/>
        </w:rPr>
        <w:t>Экспертная группа осуществляет оценку конкурсных заявок участников согласно утвержденной методике оценки конкурсных заявок по открытому конкурсу № 022/ТВРЗ/2017</w:t>
      </w:r>
      <w:r w:rsidRPr="00406F07">
        <w:rPr>
          <w:iCs/>
          <w:sz w:val="28"/>
          <w:szCs w:val="28"/>
        </w:rPr>
        <w:t>.</w:t>
      </w:r>
      <w:r w:rsidRPr="00406F07">
        <w:rPr>
          <w:sz w:val="28"/>
          <w:szCs w:val="28"/>
        </w:rPr>
        <w:t xml:space="preserve"> </w:t>
      </w:r>
      <w:r w:rsidRPr="00406F07">
        <w:rPr>
          <w:sz w:val="28"/>
        </w:rPr>
        <w:t>Каждой конкурсной заявке присваивается балльная оценка.</w:t>
      </w:r>
    </w:p>
    <w:p w:rsidR="00F52ADF" w:rsidRPr="00406F07" w:rsidRDefault="00F52ADF" w:rsidP="00F52ADF">
      <w:pPr>
        <w:pStyle w:val="a4"/>
        <w:widowControl w:val="0"/>
        <w:suppressAutoHyphens/>
        <w:autoSpaceDE w:val="0"/>
        <w:autoSpaceDN w:val="0"/>
        <w:adjustRightInd w:val="0"/>
        <w:ind w:firstLine="708"/>
        <w:rPr>
          <w:sz w:val="28"/>
          <w:szCs w:val="28"/>
        </w:rPr>
      </w:pPr>
      <w:r w:rsidRPr="00406F07">
        <w:rPr>
          <w:sz w:val="28"/>
          <w:szCs w:val="28"/>
        </w:rPr>
        <w:t>2.2. На основании результатов оценки и сопоставления конкурсных заявок каждой заявке по мере уменьшения выгодности содержащихся в ней условий</w:t>
      </w:r>
      <w:r w:rsidRPr="00406F07">
        <w:rPr>
          <w:b/>
          <w:sz w:val="28"/>
          <w:szCs w:val="28"/>
        </w:rPr>
        <w:t xml:space="preserve"> </w:t>
      </w:r>
      <w:r w:rsidRPr="00406F07">
        <w:rPr>
          <w:sz w:val="28"/>
          <w:szCs w:val="28"/>
        </w:rPr>
        <w:t xml:space="preserve">присваивается порядковый номер. Конкурсной заявке, в которой содержатся лучшие условия, присваивается первый номер. В </w:t>
      </w:r>
      <w:proofErr w:type="gramStart"/>
      <w:r w:rsidRPr="00406F07">
        <w:rPr>
          <w:sz w:val="28"/>
          <w:szCs w:val="28"/>
        </w:rPr>
        <w:t>случае</w:t>
      </w:r>
      <w:proofErr w:type="gramEnd"/>
      <w:r w:rsidRPr="00406F07">
        <w:rPr>
          <w:sz w:val="28"/>
          <w:szCs w:val="28"/>
        </w:rPr>
        <w:t>, если в нескольких конкурсных заявках содержатся одинаковые условия, меньший порядковый номер присваивается конкурсной заявке, которая поступила ранее других конкурсных заявок.</w:t>
      </w:r>
    </w:p>
    <w:p w:rsidR="00F52ADF" w:rsidRDefault="00F52ADF" w:rsidP="00F52ADF">
      <w:pPr>
        <w:ind w:firstLine="686"/>
        <w:jc w:val="both"/>
        <w:rPr>
          <w:sz w:val="28"/>
          <w:szCs w:val="28"/>
        </w:rPr>
      </w:pPr>
      <w:r w:rsidRPr="00406F07">
        <w:rPr>
          <w:sz w:val="28"/>
          <w:szCs w:val="28"/>
        </w:rPr>
        <w:t>По итогам оценки экспертной группой конкурсных заявок участникам присвоены следующие итоговые</w:t>
      </w:r>
      <w:r>
        <w:rPr>
          <w:sz w:val="28"/>
          <w:szCs w:val="28"/>
        </w:rPr>
        <w:t xml:space="preserve"> балльные оценки и порядковые номера:</w:t>
      </w:r>
    </w:p>
    <w:tbl>
      <w:tblPr>
        <w:tblStyle w:val="a6"/>
        <w:tblW w:w="0" w:type="auto"/>
        <w:tblLook w:val="04A0"/>
      </w:tblPr>
      <w:tblGrid>
        <w:gridCol w:w="1716"/>
        <w:gridCol w:w="4639"/>
        <w:gridCol w:w="3216"/>
      </w:tblGrid>
      <w:tr w:rsidR="00F52ADF" w:rsidTr="008E7586">
        <w:tc>
          <w:tcPr>
            <w:tcW w:w="1716" w:type="dxa"/>
          </w:tcPr>
          <w:p w:rsidR="00F52ADF" w:rsidRDefault="00F52ADF" w:rsidP="008E7586">
            <w:pPr>
              <w:jc w:val="both"/>
              <w:rPr>
                <w:sz w:val="28"/>
                <w:szCs w:val="28"/>
              </w:rPr>
            </w:pPr>
            <w:r>
              <w:rPr>
                <w:sz w:val="28"/>
                <w:szCs w:val="28"/>
              </w:rPr>
              <w:t>Порядковый номер заявки</w:t>
            </w:r>
          </w:p>
        </w:tc>
        <w:tc>
          <w:tcPr>
            <w:tcW w:w="5231" w:type="dxa"/>
          </w:tcPr>
          <w:p w:rsidR="00F52ADF" w:rsidRDefault="00F52ADF" w:rsidP="008E7586">
            <w:pPr>
              <w:jc w:val="both"/>
              <w:rPr>
                <w:sz w:val="28"/>
                <w:szCs w:val="28"/>
              </w:rPr>
            </w:pPr>
            <w:r>
              <w:rPr>
                <w:sz w:val="28"/>
                <w:szCs w:val="28"/>
              </w:rPr>
              <w:t>Наименование участника</w:t>
            </w:r>
          </w:p>
        </w:tc>
        <w:tc>
          <w:tcPr>
            <w:tcW w:w="3474" w:type="dxa"/>
          </w:tcPr>
          <w:p w:rsidR="00F52ADF" w:rsidRDefault="00F52ADF" w:rsidP="008E7586">
            <w:pPr>
              <w:jc w:val="both"/>
              <w:rPr>
                <w:sz w:val="28"/>
                <w:szCs w:val="28"/>
              </w:rPr>
            </w:pPr>
            <w:r>
              <w:rPr>
                <w:sz w:val="28"/>
                <w:szCs w:val="28"/>
              </w:rPr>
              <w:t>Балльная оценка заявки, представленной участником</w:t>
            </w:r>
          </w:p>
        </w:tc>
      </w:tr>
      <w:tr w:rsidR="00F52ADF" w:rsidTr="008E7586">
        <w:tc>
          <w:tcPr>
            <w:tcW w:w="1716" w:type="dxa"/>
          </w:tcPr>
          <w:p w:rsidR="00F52ADF" w:rsidRDefault="00F52ADF" w:rsidP="008E7586">
            <w:pPr>
              <w:jc w:val="both"/>
              <w:rPr>
                <w:sz w:val="28"/>
                <w:szCs w:val="28"/>
              </w:rPr>
            </w:pPr>
            <w:r>
              <w:rPr>
                <w:sz w:val="28"/>
                <w:szCs w:val="28"/>
              </w:rPr>
              <w:t>1.</w:t>
            </w:r>
          </w:p>
        </w:tc>
        <w:tc>
          <w:tcPr>
            <w:tcW w:w="5231" w:type="dxa"/>
          </w:tcPr>
          <w:p w:rsidR="00F52ADF" w:rsidRPr="00A539EA" w:rsidRDefault="00F52ADF" w:rsidP="008E7586">
            <w:pPr>
              <w:jc w:val="both"/>
              <w:rPr>
                <w:sz w:val="28"/>
                <w:szCs w:val="28"/>
              </w:rPr>
            </w:pPr>
            <w:r w:rsidRPr="00A539EA">
              <w:rPr>
                <w:sz w:val="28"/>
                <w:szCs w:val="28"/>
              </w:rPr>
              <w:t xml:space="preserve">ООО </w:t>
            </w:r>
            <w:r w:rsidRPr="00A539EA">
              <w:rPr>
                <w:sz w:val="24"/>
                <w:szCs w:val="24"/>
              </w:rPr>
              <w:t>«ПЕРВЫЙ МЕДИЦИНСКИЙ ЦЕНТР»</w:t>
            </w:r>
          </w:p>
        </w:tc>
        <w:tc>
          <w:tcPr>
            <w:tcW w:w="3474" w:type="dxa"/>
          </w:tcPr>
          <w:p w:rsidR="00F52ADF" w:rsidRDefault="00F52ADF" w:rsidP="008E7586">
            <w:pPr>
              <w:jc w:val="both"/>
              <w:rPr>
                <w:sz w:val="28"/>
                <w:szCs w:val="28"/>
              </w:rPr>
            </w:pPr>
            <w:r>
              <w:rPr>
                <w:sz w:val="28"/>
                <w:szCs w:val="28"/>
              </w:rPr>
              <w:t xml:space="preserve">                  95</w:t>
            </w:r>
          </w:p>
        </w:tc>
      </w:tr>
      <w:tr w:rsidR="00F52ADF" w:rsidTr="008E7586">
        <w:tc>
          <w:tcPr>
            <w:tcW w:w="1716" w:type="dxa"/>
          </w:tcPr>
          <w:p w:rsidR="00F52ADF" w:rsidRDefault="00F52ADF" w:rsidP="008E7586">
            <w:pPr>
              <w:jc w:val="both"/>
              <w:rPr>
                <w:sz w:val="28"/>
                <w:szCs w:val="28"/>
              </w:rPr>
            </w:pPr>
            <w:r>
              <w:rPr>
                <w:sz w:val="28"/>
                <w:szCs w:val="28"/>
              </w:rPr>
              <w:t>2.</w:t>
            </w:r>
          </w:p>
        </w:tc>
        <w:tc>
          <w:tcPr>
            <w:tcW w:w="5231" w:type="dxa"/>
          </w:tcPr>
          <w:p w:rsidR="00F52ADF" w:rsidRDefault="00F52ADF" w:rsidP="008E7586">
            <w:pPr>
              <w:jc w:val="both"/>
              <w:rPr>
                <w:sz w:val="28"/>
                <w:szCs w:val="28"/>
              </w:rPr>
            </w:pPr>
            <w:r w:rsidRPr="00BC0159">
              <w:rPr>
                <w:sz w:val="28"/>
                <w:szCs w:val="28"/>
              </w:rPr>
              <w:t>НУЗ «Отделенческая больница на станции Мичуринск-Уральский ОАО «РЖД» </w:t>
            </w:r>
          </w:p>
        </w:tc>
        <w:tc>
          <w:tcPr>
            <w:tcW w:w="3474" w:type="dxa"/>
          </w:tcPr>
          <w:p w:rsidR="00F52ADF" w:rsidRDefault="00F52ADF" w:rsidP="008E7586">
            <w:pPr>
              <w:jc w:val="both"/>
              <w:rPr>
                <w:sz w:val="28"/>
                <w:szCs w:val="28"/>
              </w:rPr>
            </w:pPr>
            <w:r>
              <w:rPr>
                <w:sz w:val="28"/>
                <w:szCs w:val="28"/>
              </w:rPr>
              <w:t xml:space="preserve">                 27,34</w:t>
            </w:r>
          </w:p>
        </w:tc>
      </w:tr>
    </w:tbl>
    <w:p w:rsidR="00F52ADF" w:rsidRDefault="00F52ADF" w:rsidP="00F52ADF">
      <w:pPr>
        <w:spacing w:line="300" w:lineRule="exact"/>
        <w:ind w:left="686"/>
        <w:jc w:val="center"/>
        <w:rPr>
          <w:b/>
          <w:sz w:val="28"/>
          <w:u w:val="single"/>
        </w:rPr>
      </w:pPr>
    </w:p>
    <w:p w:rsidR="00F52ADF" w:rsidRDefault="00F52ADF" w:rsidP="00F52ADF">
      <w:pPr>
        <w:spacing w:line="300" w:lineRule="exact"/>
        <w:ind w:left="686"/>
        <w:jc w:val="center"/>
        <w:rPr>
          <w:b/>
          <w:sz w:val="28"/>
          <w:u w:val="single"/>
        </w:rPr>
      </w:pPr>
      <w:r>
        <w:rPr>
          <w:b/>
          <w:sz w:val="28"/>
          <w:u w:val="single"/>
        </w:rPr>
        <w:t>По пункту 3 повестки дня</w:t>
      </w:r>
    </w:p>
    <w:p w:rsidR="00F52ADF" w:rsidRDefault="00F52ADF" w:rsidP="00F52ADF">
      <w:pPr>
        <w:spacing w:line="300" w:lineRule="exact"/>
        <w:ind w:left="686"/>
        <w:jc w:val="center"/>
        <w:rPr>
          <w:b/>
          <w:sz w:val="28"/>
          <w:u w:val="single"/>
        </w:rPr>
      </w:pPr>
    </w:p>
    <w:p w:rsidR="00F52ADF" w:rsidRDefault="00F52ADF" w:rsidP="00F52ADF">
      <w:pPr>
        <w:ind w:firstLine="709"/>
        <w:jc w:val="both"/>
        <w:rPr>
          <w:sz w:val="28"/>
          <w:szCs w:val="28"/>
        </w:rPr>
      </w:pPr>
      <w:r>
        <w:rPr>
          <w:sz w:val="28"/>
          <w:szCs w:val="28"/>
        </w:rPr>
        <w:t xml:space="preserve"> На основании проведенной работы по рассмотрению конкурсных заявок участников по открытому конкурсу № 022/ТВРЗ/2017</w:t>
      </w:r>
      <w:r>
        <w:rPr>
          <w:i/>
          <w:sz w:val="28"/>
          <w:szCs w:val="28"/>
        </w:rPr>
        <w:t xml:space="preserve">, </w:t>
      </w:r>
      <w:r>
        <w:rPr>
          <w:sz w:val="28"/>
          <w:szCs w:val="28"/>
        </w:rPr>
        <w:t>экспертная группа приняла решение вынести на рассмотрение Конкурсной комиссии Тамбовского ВРЗ АО «ВРМ»</w:t>
      </w:r>
      <w:r>
        <w:rPr>
          <w:b/>
          <w:i/>
          <w:sz w:val="28"/>
          <w:szCs w:val="28"/>
        </w:rPr>
        <w:t xml:space="preserve"> </w:t>
      </w:r>
      <w:r>
        <w:rPr>
          <w:sz w:val="28"/>
          <w:szCs w:val="28"/>
        </w:rPr>
        <w:t>следующие предложения:</w:t>
      </w:r>
    </w:p>
    <w:p w:rsidR="00F52ADF" w:rsidRDefault="00F52ADF" w:rsidP="00F52ADF">
      <w:pPr>
        <w:ind w:firstLine="709"/>
        <w:jc w:val="both"/>
        <w:rPr>
          <w:sz w:val="28"/>
          <w:szCs w:val="28"/>
        </w:rPr>
      </w:pPr>
      <w:r>
        <w:rPr>
          <w:sz w:val="28"/>
          <w:szCs w:val="28"/>
        </w:rPr>
        <w:t xml:space="preserve">3.1. В связи с тем, что по итогам рассмотрения конкурсных заявок требованиям конкурсной документации соответствуют две конкурсных заявки, согласно п.2.8.8 Конкурсной документации признать открытый конкурс </w:t>
      </w:r>
      <w:r w:rsidRPr="00BC0159">
        <w:rPr>
          <w:sz w:val="28"/>
          <w:szCs w:val="28"/>
        </w:rPr>
        <w:t>№022/ТВРЗ/2017</w:t>
      </w:r>
      <w:r>
        <w:rPr>
          <w:sz w:val="28"/>
          <w:szCs w:val="28"/>
        </w:rPr>
        <w:t xml:space="preserve"> состоявшимся.</w:t>
      </w:r>
    </w:p>
    <w:p w:rsidR="00F52ADF" w:rsidRPr="00C52E18" w:rsidRDefault="00F52ADF" w:rsidP="00F52ADF">
      <w:pPr>
        <w:ind w:firstLine="737"/>
        <w:jc w:val="both"/>
        <w:rPr>
          <w:bCs/>
          <w:sz w:val="28"/>
          <w:szCs w:val="28"/>
        </w:rPr>
      </w:pPr>
      <w:r>
        <w:rPr>
          <w:rFonts w:ascii="Times New Roman CYR" w:hAnsi="Times New Roman CYR" w:cs="Times New Roman CYR"/>
          <w:sz w:val="28"/>
          <w:szCs w:val="28"/>
        </w:rPr>
        <w:t xml:space="preserve">3.2. </w:t>
      </w:r>
      <w:r>
        <w:rPr>
          <w:sz w:val="28"/>
          <w:szCs w:val="28"/>
        </w:rPr>
        <w:t xml:space="preserve">Признать победителем открытого конкурса </w:t>
      </w:r>
      <w:r w:rsidRPr="00055E52">
        <w:rPr>
          <w:sz w:val="28"/>
          <w:szCs w:val="28"/>
        </w:rPr>
        <w:t>№</w:t>
      </w:r>
      <w:r>
        <w:rPr>
          <w:rFonts w:eastAsia="MS Mincho"/>
          <w:sz w:val="28"/>
          <w:szCs w:val="28"/>
        </w:rPr>
        <w:t>022</w:t>
      </w:r>
      <w:r w:rsidRPr="00055E52">
        <w:rPr>
          <w:rFonts w:eastAsia="MS Mincho"/>
          <w:sz w:val="28"/>
          <w:szCs w:val="28"/>
        </w:rPr>
        <w:t>/ТВРЗ/201</w:t>
      </w:r>
      <w:r>
        <w:rPr>
          <w:rFonts w:eastAsia="MS Mincho"/>
          <w:sz w:val="28"/>
          <w:szCs w:val="28"/>
        </w:rPr>
        <w:t xml:space="preserve">7 </w:t>
      </w:r>
      <w:r w:rsidRPr="008F4114">
        <w:rPr>
          <w:sz w:val="28"/>
          <w:szCs w:val="28"/>
        </w:rPr>
        <w:t>Общество с ограниченной ответственностью «ПЕРВЫЙ МЕДИЦИНСКИЙ ЦЕНТР»</w:t>
      </w:r>
      <w:r>
        <w:rPr>
          <w:sz w:val="28"/>
          <w:szCs w:val="28"/>
        </w:rPr>
        <w:t>,</w:t>
      </w:r>
      <w:r>
        <w:rPr>
          <w:b/>
          <w:i/>
          <w:sz w:val="20"/>
          <w:szCs w:val="20"/>
        </w:rPr>
        <w:t xml:space="preserve"> </w:t>
      </w:r>
      <w:r>
        <w:rPr>
          <w:sz w:val="28"/>
          <w:szCs w:val="28"/>
        </w:rPr>
        <w:t xml:space="preserve">получившего максимальную балльную оценку </w:t>
      </w:r>
      <w:r w:rsidRPr="00DF505E">
        <w:rPr>
          <w:sz w:val="28"/>
          <w:szCs w:val="28"/>
        </w:rPr>
        <w:t xml:space="preserve">с суммой единичных расценок </w:t>
      </w:r>
      <w:r>
        <w:rPr>
          <w:sz w:val="28"/>
          <w:szCs w:val="28"/>
        </w:rPr>
        <w:t>1999</w:t>
      </w:r>
      <w:r w:rsidRPr="00C52E18">
        <w:rPr>
          <w:sz w:val="28"/>
          <w:szCs w:val="28"/>
        </w:rPr>
        <w:t>,00</w:t>
      </w:r>
      <w:r w:rsidRPr="00C52E18">
        <w:rPr>
          <w:bCs/>
          <w:sz w:val="27"/>
          <w:szCs w:val="27"/>
        </w:rPr>
        <w:t xml:space="preserve"> рублей, </w:t>
      </w:r>
      <w:r w:rsidRPr="00C52E18">
        <w:rPr>
          <w:sz w:val="28"/>
          <w:szCs w:val="28"/>
        </w:rPr>
        <w:t>указанной в его финансово – коммерческом предложении.</w:t>
      </w:r>
    </w:p>
    <w:p w:rsidR="00F52ADF" w:rsidRPr="00C52E18" w:rsidRDefault="00F52ADF" w:rsidP="00F52ADF">
      <w:pPr>
        <w:ind w:firstLine="709"/>
        <w:jc w:val="both"/>
        <w:outlineLvl w:val="0"/>
        <w:rPr>
          <w:sz w:val="28"/>
          <w:szCs w:val="28"/>
        </w:rPr>
      </w:pPr>
      <w:r w:rsidRPr="00C52E18">
        <w:rPr>
          <w:sz w:val="28"/>
          <w:szCs w:val="28"/>
        </w:rPr>
        <w:t>3.3. Поручить начальнику ОУП Дудиной С.В. в установленном порядке обеспечить заключение договора с Обществом с ограниченной ответственностью «ПЕРВЫЙ МЕДИЦИНСКИЙ ЦЕНТР»</w:t>
      </w:r>
      <w:r w:rsidRPr="00C52E18">
        <w:rPr>
          <w:b/>
          <w:i/>
          <w:sz w:val="20"/>
          <w:szCs w:val="20"/>
        </w:rPr>
        <w:t xml:space="preserve"> </w:t>
      </w:r>
      <w:r w:rsidRPr="00C52E18">
        <w:rPr>
          <w:rFonts w:eastAsia="MS Mincho"/>
          <w:sz w:val="28"/>
          <w:szCs w:val="28"/>
        </w:rPr>
        <w:t>по цене, не превышающей цены, указанной в его финансово-коммерческом предложении</w:t>
      </w:r>
      <w:r w:rsidRPr="00C52E18">
        <w:rPr>
          <w:sz w:val="28"/>
          <w:szCs w:val="28"/>
        </w:rPr>
        <w:t xml:space="preserve">, в </w:t>
      </w:r>
      <w:proofErr w:type="gramStart"/>
      <w:r w:rsidRPr="00C52E18">
        <w:rPr>
          <w:sz w:val="28"/>
          <w:szCs w:val="28"/>
        </w:rPr>
        <w:t>пределах</w:t>
      </w:r>
      <w:proofErr w:type="gramEnd"/>
      <w:r w:rsidRPr="00C52E18">
        <w:rPr>
          <w:sz w:val="28"/>
          <w:szCs w:val="28"/>
        </w:rPr>
        <w:t xml:space="preserve"> </w:t>
      </w:r>
      <w:r w:rsidRPr="00C52E18">
        <w:rPr>
          <w:rFonts w:eastAsia="MS Mincho"/>
          <w:sz w:val="28"/>
          <w:szCs w:val="28"/>
        </w:rPr>
        <w:t>выделенных на эти цели средств.</w:t>
      </w:r>
    </w:p>
    <w:p w:rsidR="00F52ADF" w:rsidRPr="00C67177" w:rsidRDefault="00F52ADF" w:rsidP="00F52ADF">
      <w:pPr>
        <w:spacing w:line="300" w:lineRule="exact"/>
        <w:jc w:val="both"/>
        <w:rPr>
          <w:color w:val="FF0000"/>
          <w:sz w:val="28"/>
        </w:rPr>
      </w:pPr>
    </w:p>
    <w:p w:rsidR="00F52ADF" w:rsidRDefault="00F52ADF" w:rsidP="00F52ADF">
      <w:pPr>
        <w:tabs>
          <w:tab w:val="left" w:pos="7020"/>
        </w:tabs>
        <w:rPr>
          <w:sz w:val="28"/>
          <w:szCs w:val="28"/>
        </w:rPr>
      </w:pPr>
      <w:r>
        <w:rPr>
          <w:sz w:val="28"/>
          <w:szCs w:val="28"/>
        </w:rPr>
        <w:t>Подписи:</w:t>
      </w:r>
    </w:p>
    <w:p w:rsidR="00F52ADF" w:rsidRDefault="00F52ADF" w:rsidP="00F52ADF">
      <w:pPr>
        <w:rPr>
          <w:sz w:val="28"/>
        </w:rPr>
      </w:pPr>
      <w:r w:rsidRPr="00DD1BE3">
        <w:rPr>
          <w:sz w:val="28"/>
        </w:rPr>
        <w:t>Руководитель экспертной группы</w:t>
      </w:r>
    </w:p>
    <w:p w:rsidR="00F52ADF" w:rsidRPr="00DD1BE3" w:rsidRDefault="00F52ADF" w:rsidP="00F52ADF">
      <w:pPr>
        <w:tabs>
          <w:tab w:val="left" w:pos="7020"/>
        </w:tabs>
        <w:rPr>
          <w:sz w:val="28"/>
          <w:szCs w:val="28"/>
        </w:rPr>
      </w:pPr>
    </w:p>
    <w:p w:rsidR="00F52ADF" w:rsidRDefault="00F52ADF" w:rsidP="00F52ADF">
      <w:pPr>
        <w:tabs>
          <w:tab w:val="left" w:pos="7020"/>
        </w:tabs>
        <w:rPr>
          <w:sz w:val="28"/>
          <w:szCs w:val="28"/>
        </w:rPr>
      </w:pPr>
      <w:r>
        <w:rPr>
          <w:sz w:val="28"/>
          <w:szCs w:val="28"/>
        </w:rPr>
        <w:t>Члены экспертной группы:</w:t>
      </w:r>
    </w:p>
    <w:p w:rsidR="00F52ADF" w:rsidRDefault="00F52ADF" w:rsidP="00F52ADF">
      <w:pPr>
        <w:tabs>
          <w:tab w:val="left" w:pos="7020"/>
        </w:tabs>
        <w:rPr>
          <w:sz w:val="28"/>
          <w:szCs w:val="28"/>
        </w:rPr>
      </w:pPr>
    </w:p>
    <w:p w:rsidR="00F52ADF" w:rsidRDefault="00F52ADF" w:rsidP="00F52ADF">
      <w:pPr>
        <w:tabs>
          <w:tab w:val="left" w:pos="7020"/>
        </w:tabs>
        <w:rPr>
          <w:sz w:val="28"/>
          <w:szCs w:val="28"/>
        </w:rPr>
      </w:pPr>
    </w:p>
    <w:p w:rsidR="00F52ADF" w:rsidRDefault="00F52ADF" w:rsidP="00F52ADF">
      <w:pPr>
        <w:tabs>
          <w:tab w:val="left" w:pos="7020"/>
        </w:tabs>
        <w:rPr>
          <w:sz w:val="28"/>
          <w:szCs w:val="28"/>
        </w:rPr>
      </w:pPr>
    </w:p>
    <w:p w:rsidR="00F52ADF" w:rsidRDefault="00F52ADF" w:rsidP="00F52ADF">
      <w:pPr>
        <w:tabs>
          <w:tab w:val="left" w:pos="7020"/>
        </w:tabs>
        <w:rPr>
          <w:sz w:val="28"/>
          <w:szCs w:val="28"/>
        </w:rPr>
      </w:pPr>
    </w:p>
    <w:p w:rsidR="00573805" w:rsidRDefault="00573805"/>
    <w:sectPr w:rsidR="00573805" w:rsidSect="005738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A4199"/>
    <w:multiLevelType w:val="multilevel"/>
    <w:tmpl w:val="93F83AF2"/>
    <w:lvl w:ilvl="0">
      <w:start w:val="2"/>
      <w:numFmt w:val="decimal"/>
      <w:lvlText w:val="%1."/>
      <w:lvlJc w:val="left"/>
      <w:pPr>
        <w:ind w:left="420" w:hanging="42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4C2D30A3"/>
    <w:multiLevelType w:val="multilevel"/>
    <w:tmpl w:val="007C0FB6"/>
    <w:lvl w:ilvl="0">
      <w:start w:val="1"/>
      <w:numFmt w:val="decimal"/>
      <w:lvlText w:val="%1."/>
      <w:lvlJc w:val="left"/>
      <w:pPr>
        <w:ind w:left="432" w:hanging="432"/>
      </w:pPr>
      <w:rPr>
        <w:rFonts w:hint="default"/>
      </w:rPr>
    </w:lvl>
    <w:lvl w:ilvl="1">
      <w:start w:val="1"/>
      <w:numFmt w:val="decimal"/>
      <w:lvlText w:val="%1.%2."/>
      <w:lvlJc w:val="left"/>
      <w:pPr>
        <w:ind w:left="6674"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8655FB7"/>
    <w:multiLevelType w:val="multilevel"/>
    <w:tmpl w:val="4B82259C"/>
    <w:lvl w:ilvl="0">
      <w:start w:val="1"/>
      <w:numFmt w:val="decimal"/>
      <w:lvlText w:val="%1."/>
      <w:lvlJc w:val="left"/>
      <w:pPr>
        <w:ind w:left="1068" w:hanging="360"/>
      </w:pPr>
      <w:rPr>
        <w:rFonts w:hint="default"/>
      </w:rPr>
    </w:lvl>
    <w:lvl w:ilvl="1">
      <w:start w:val="1"/>
      <w:numFmt w:val="decimal"/>
      <w:isLgl/>
      <w:lvlText w:val="%1.%2."/>
      <w:lvlJc w:val="left"/>
      <w:pPr>
        <w:ind w:left="2087" w:hanging="1236"/>
      </w:pPr>
      <w:rPr>
        <w:rFonts w:hint="default"/>
      </w:rPr>
    </w:lvl>
    <w:lvl w:ilvl="2">
      <w:start w:val="1"/>
      <w:numFmt w:val="decimal"/>
      <w:isLgl/>
      <w:lvlText w:val="%1.%2.%3."/>
      <w:lvlJc w:val="left"/>
      <w:pPr>
        <w:ind w:left="1944" w:hanging="1236"/>
      </w:pPr>
      <w:rPr>
        <w:rFonts w:hint="default"/>
      </w:rPr>
    </w:lvl>
    <w:lvl w:ilvl="3">
      <w:start w:val="1"/>
      <w:numFmt w:val="decimal"/>
      <w:isLgl/>
      <w:lvlText w:val="%1.%2.%3.%4."/>
      <w:lvlJc w:val="left"/>
      <w:pPr>
        <w:ind w:left="1944" w:hanging="1236"/>
      </w:pPr>
      <w:rPr>
        <w:rFonts w:hint="default"/>
      </w:rPr>
    </w:lvl>
    <w:lvl w:ilvl="4">
      <w:start w:val="1"/>
      <w:numFmt w:val="decimal"/>
      <w:isLgl/>
      <w:lvlText w:val="%1.%2.%3.%4.%5."/>
      <w:lvlJc w:val="left"/>
      <w:pPr>
        <w:ind w:left="1944" w:hanging="1236"/>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
  </w:num>
  <w:num w:numId="2">
    <w:abstractNumId w:val="2"/>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2ADF"/>
    <w:rsid w:val="001D3B1F"/>
    <w:rsid w:val="00573805"/>
    <w:rsid w:val="005A1C7B"/>
    <w:rsid w:val="00D04534"/>
    <w:rsid w:val="00F52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A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2ADF"/>
    <w:pPr>
      <w:keepNext/>
      <w:tabs>
        <w:tab w:val="left" w:pos="3630"/>
      </w:tabs>
      <w:jc w:val="both"/>
      <w:outlineLvl w:val="0"/>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2ADF"/>
    <w:rPr>
      <w:rFonts w:ascii="Times New Roman" w:eastAsia="Times New Roman" w:hAnsi="Times New Roman" w:cs="Times New Roman"/>
      <w:b/>
      <w:bCs/>
      <w:sz w:val="28"/>
      <w:szCs w:val="28"/>
      <w:u w:val="single"/>
      <w:lang w:eastAsia="ru-RU"/>
    </w:rPr>
  </w:style>
  <w:style w:type="paragraph" w:styleId="a3">
    <w:name w:val="List Paragraph"/>
    <w:basedOn w:val="a"/>
    <w:uiPriority w:val="34"/>
    <w:qFormat/>
    <w:rsid w:val="00F52ADF"/>
    <w:pPr>
      <w:ind w:left="720"/>
      <w:contextualSpacing/>
    </w:pPr>
  </w:style>
  <w:style w:type="paragraph" w:customStyle="1" w:styleId="11">
    <w:name w:val="Обычный1"/>
    <w:link w:val="Normal"/>
    <w:rsid w:val="00F52A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F52ADF"/>
    <w:rPr>
      <w:rFonts w:ascii="Times New Roman" w:eastAsia="Times New Roman" w:hAnsi="Times New Roman" w:cs="Times New Roman"/>
      <w:sz w:val="28"/>
      <w:szCs w:val="20"/>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F52ADF"/>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F52ADF"/>
    <w:rPr>
      <w:rFonts w:ascii="Times New Roman" w:eastAsia="MS Mincho" w:hAnsi="Times New Roman" w:cs="Times New Roman"/>
      <w:sz w:val="26"/>
      <w:szCs w:val="24"/>
      <w:lang w:eastAsia="ru-RU"/>
    </w:rPr>
  </w:style>
  <w:style w:type="table" w:styleId="a6">
    <w:name w:val="Table Grid"/>
    <w:basedOn w:val="a1"/>
    <w:uiPriority w:val="59"/>
    <w:rsid w:val="00F52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634</Words>
  <Characters>3620</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ДудинаСВ</dc:creator>
  <cp:keywords/>
  <dc:description/>
  <cp:lastModifiedBy>belenkovsa</cp:lastModifiedBy>
  <cp:revision>3</cp:revision>
  <dcterms:created xsi:type="dcterms:W3CDTF">2018-02-02T06:08:00Z</dcterms:created>
  <dcterms:modified xsi:type="dcterms:W3CDTF">2018-02-02T06:23:00Z</dcterms:modified>
</cp:coreProperties>
</file>