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2A059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</w:t>
      </w:r>
      <w:r w:rsidR="006900BB">
        <w:rPr>
          <w:sz w:val="28"/>
          <w:szCs w:val="28"/>
        </w:rPr>
        <w:t>69</w:t>
      </w:r>
      <w:r w:rsidR="0041101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6900BB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«29</w:t>
      </w:r>
      <w:r w:rsidR="00483DF7">
        <w:rPr>
          <w:sz w:val="28"/>
          <w:szCs w:val="28"/>
        </w:rPr>
        <w:t>»</w:t>
      </w:r>
      <w:r w:rsidR="00D705CC">
        <w:rPr>
          <w:sz w:val="28"/>
          <w:szCs w:val="28"/>
        </w:rPr>
        <w:t xml:space="preserve"> декабря</w:t>
      </w:r>
      <w:r w:rsidR="00483DF7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41101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451625" w:rsidRPr="006900BB" w:rsidRDefault="002E7CF1" w:rsidP="006900BB">
      <w:pPr>
        <w:pStyle w:val="a5"/>
        <w:numPr>
          <w:ilvl w:val="0"/>
          <w:numId w:val="8"/>
        </w:numPr>
        <w:ind w:left="284" w:firstLine="709"/>
        <w:jc w:val="both"/>
        <w:rPr>
          <w:spacing w:val="-1"/>
          <w:sz w:val="28"/>
          <w:szCs w:val="28"/>
        </w:rPr>
      </w:pP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6900BB">
        <w:rPr>
          <w:sz w:val="28"/>
          <w:szCs w:val="28"/>
        </w:rPr>
        <w:t>069</w:t>
      </w:r>
      <w:r w:rsidR="0041101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="0055232E" w:rsidRPr="00407245">
        <w:rPr>
          <w:sz w:val="28"/>
          <w:szCs w:val="28"/>
        </w:rPr>
        <w:t>на право заключения договора</w:t>
      </w:r>
      <w:r w:rsidR="0055232E" w:rsidRPr="00407245">
        <w:rPr>
          <w:sz w:val="28"/>
        </w:rPr>
        <w:t xml:space="preserve"> оказание транспортных услуг по доставке автомобильным транспортом колесных пар железнодорожного подвижного состава</w:t>
      </w:r>
      <w:r w:rsidR="0055232E" w:rsidRPr="00407245">
        <w:rPr>
          <w:sz w:val="28"/>
        </w:rPr>
        <w:t xml:space="preserve"> </w:t>
      </w:r>
      <w:r w:rsidR="0055232E" w:rsidRPr="00407245">
        <w:rPr>
          <w:sz w:val="28"/>
          <w:szCs w:val="28"/>
        </w:rPr>
        <w:t xml:space="preserve">(далее </w:t>
      </w:r>
      <w:r w:rsidR="0055232E" w:rsidRPr="00407245">
        <w:rPr>
          <w:sz w:val="28"/>
          <w:szCs w:val="28"/>
        </w:rPr>
        <w:t>автотранспортные услуг</w:t>
      </w:r>
      <w:r w:rsidR="0055232E" w:rsidRPr="00407245">
        <w:rPr>
          <w:sz w:val="28"/>
          <w:szCs w:val="28"/>
        </w:rPr>
        <w:t>) для нужд</w:t>
      </w:r>
      <w:r w:rsidR="0055232E" w:rsidRPr="00407245">
        <w:rPr>
          <w:sz w:val="28"/>
          <w:szCs w:val="28"/>
        </w:rPr>
        <w:t xml:space="preserve"> Тамбовского ВРЗ АО «ВРМ» </w:t>
      </w:r>
      <w:r w:rsidR="0055232E" w:rsidRPr="00407245">
        <w:rPr>
          <w:sz w:val="28"/>
          <w:szCs w:val="28"/>
        </w:rPr>
        <w:t xml:space="preserve">до </w:t>
      </w:r>
      <w:r w:rsidR="0055232E" w:rsidRPr="00407245">
        <w:rPr>
          <w:sz w:val="28"/>
          <w:szCs w:val="28"/>
        </w:rPr>
        <w:t>31 декабря 2023.</w:t>
      </w: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E962CB">
        <w:rPr>
          <w:sz w:val="28"/>
          <w:szCs w:val="28"/>
        </w:rPr>
        <w:t>кспертной группы (протокол от 28</w:t>
      </w:r>
      <w:r w:rsidR="00D705CC">
        <w:rPr>
          <w:sz w:val="28"/>
          <w:szCs w:val="28"/>
        </w:rPr>
        <w:t>.12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E962CB">
        <w:rPr>
          <w:sz w:val="28"/>
          <w:szCs w:val="28"/>
        </w:rPr>
        <w:t>№069</w:t>
      </w:r>
      <w:bookmarkStart w:id="0" w:name="_GoBack"/>
      <w:bookmarkEnd w:id="0"/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6900BB" w:rsidRPr="00837637" w:rsidRDefault="006900BB" w:rsidP="006900BB">
      <w:pPr>
        <w:spacing w:line="360" w:lineRule="exac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поступила </w:t>
      </w:r>
      <w:r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только одна котировочная заявка </w:t>
      </w:r>
      <w:r w:rsidRPr="00407245">
        <w:rPr>
          <w:sz w:val="28"/>
          <w:szCs w:val="28"/>
        </w:rPr>
        <w:t>ООО «МТЭКО ЛОГИСТИКА»</w:t>
      </w:r>
      <w:r w:rsidRPr="00EE001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которая</w:t>
      </w:r>
      <w:r w:rsidRPr="00EE001D">
        <w:rPr>
          <w:sz w:val="28"/>
          <w:szCs w:val="28"/>
        </w:rPr>
        <w:t xml:space="preserve"> соответствует требованиям запроса котирово</w:t>
      </w:r>
      <w:r>
        <w:rPr>
          <w:sz w:val="28"/>
          <w:szCs w:val="28"/>
        </w:rPr>
        <w:t xml:space="preserve">к цен №069/ТВРЗ/2022, на основании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. 1</w:t>
      </w:r>
      <w:r w:rsidRPr="00EE001D">
        <w:rPr>
          <w:sz w:val="28"/>
          <w:szCs w:val="28"/>
        </w:rPr>
        <w:t xml:space="preserve"> п. 5.14. признать запрос котир</w:t>
      </w:r>
      <w:r>
        <w:rPr>
          <w:sz w:val="28"/>
          <w:szCs w:val="28"/>
        </w:rPr>
        <w:t>овок цен № 069</w:t>
      </w:r>
      <w:r w:rsidRPr="00EE001D">
        <w:rPr>
          <w:sz w:val="28"/>
          <w:szCs w:val="28"/>
        </w:rPr>
        <w:t>/ТВРЗ/2022 несостоявшимся.</w:t>
      </w:r>
      <w:r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407245">
        <w:rPr>
          <w:sz w:val="28"/>
          <w:szCs w:val="28"/>
        </w:rPr>
        <w:t xml:space="preserve">ООО «МТЭКО </w:t>
      </w:r>
      <w:r w:rsidRPr="00407245">
        <w:rPr>
          <w:sz w:val="28"/>
          <w:szCs w:val="28"/>
        </w:rPr>
        <w:lastRenderedPageBreak/>
        <w:t>ЛОГИСТИКА»</w:t>
      </w:r>
      <w:r>
        <w:rPr>
          <w:color w:val="000000" w:themeColor="text1"/>
          <w:sz w:val="28"/>
          <w:szCs w:val="28"/>
        </w:rPr>
        <w:t xml:space="preserve"> </w:t>
      </w:r>
      <w:r w:rsidRPr="00EE001D">
        <w:rPr>
          <w:rFonts w:ascii="Times New Roman CYR" w:hAnsi="Times New Roman CYR" w:cs="Times New Roman CYR"/>
          <w:sz w:val="28"/>
          <w:szCs w:val="28"/>
        </w:rPr>
        <w:t>со стоимостью предложения</w:t>
      </w:r>
      <w:r w:rsidRPr="00837637">
        <w:rPr>
          <w:sz w:val="28"/>
          <w:szCs w:val="28"/>
        </w:rPr>
        <w:t xml:space="preserve"> </w:t>
      </w:r>
      <w:r>
        <w:rPr>
          <w:sz w:val="28"/>
          <w:szCs w:val="28"/>
        </w:rPr>
        <w:t>24 288 460</w:t>
      </w:r>
      <w:r w:rsidRPr="00837637">
        <w:rPr>
          <w:sz w:val="28"/>
          <w:szCs w:val="28"/>
        </w:rPr>
        <w:t xml:space="preserve"> (</w:t>
      </w:r>
      <w:r>
        <w:rPr>
          <w:sz w:val="28"/>
          <w:szCs w:val="28"/>
        </w:rPr>
        <w:t>двадцать четыре миллиона двести восемьдесят восемь тысяч четыреста шестьдесят) рублей 00</w:t>
      </w:r>
      <w:r w:rsidRPr="00837637">
        <w:rPr>
          <w:sz w:val="28"/>
          <w:szCs w:val="28"/>
        </w:rPr>
        <w:t xml:space="preserve"> копеек без </w:t>
      </w:r>
      <w:proofErr w:type="gramStart"/>
      <w:r w:rsidRPr="00837637">
        <w:rPr>
          <w:sz w:val="28"/>
          <w:szCs w:val="28"/>
        </w:rPr>
        <w:t>НДС</w:t>
      </w:r>
      <w:r>
        <w:rPr>
          <w:sz w:val="28"/>
          <w:szCs w:val="28"/>
        </w:rPr>
        <w:t xml:space="preserve">, </w:t>
      </w:r>
      <w:r w:rsidRPr="00837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29 146 152 </w:t>
      </w:r>
      <w:r w:rsidRPr="00837637">
        <w:rPr>
          <w:sz w:val="28"/>
          <w:szCs w:val="28"/>
        </w:rPr>
        <w:t>(</w:t>
      </w:r>
      <w:r>
        <w:rPr>
          <w:sz w:val="28"/>
          <w:szCs w:val="28"/>
        </w:rPr>
        <w:t>двадцать девять миллионов сто сорок шесть тысяч сто пятьдесят два) рубля 00</w:t>
      </w:r>
      <w:r w:rsidRPr="00837637">
        <w:rPr>
          <w:sz w:val="28"/>
          <w:szCs w:val="28"/>
        </w:rPr>
        <w:t xml:space="preserve"> копеек </w:t>
      </w:r>
      <w:r>
        <w:rPr>
          <w:sz w:val="28"/>
          <w:szCs w:val="28"/>
        </w:rPr>
        <w:t>с</w:t>
      </w:r>
      <w:r w:rsidRPr="00837637">
        <w:rPr>
          <w:sz w:val="28"/>
          <w:szCs w:val="28"/>
        </w:rPr>
        <w:t xml:space="preserve"> НДС указанного в его финансово-коммерческом предложении.</w:t>
      </w:r>
    </w:p>
    <w:p w:rsidR="003C53FD" w:rsidRPr="00FA111F" w:rsidRDefault="003C53FD" w:rsidP="00D705CC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41101E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D706B"/>
    <w:multiLevelType w:val="hybridMultilevel"/>
    <w:tmpl w:val="D29899B6"/>
    <w:lvl w:ilvl="0" w:tplc="CC2C5AC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948CE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0591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DBD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101E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307E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06586"/>
    <w:rsid w:val="00525499"/>
    <w:rsid w:val="00530498"/>
    <w:rsid w:val="005416D0"/>
    <w:rsid w:val="00542E14"/>
    <w:rsid w:val="005444C5"/>
    <w:rsid w:val="00544782"/>
    <w:rsid w:val="0055232E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00B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321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705CC"/>
    <w:rsid w:val="00D83792"/>
    <w:rsid w:val="00D84322"/>
    <w:rsid w:val="00D87243"/>
    <w:rsid w:val="00DA4CEC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962CB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7DA92-53F6-4BB9-B8EA-7F441213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12</cp:revision>
  <cp:lastPrinted>2022-12-28T12:42:00Z</cp:lastPrinted>
  <dcterms:created xsi:type="dcterms:W3CDTF">2021-10-04T06:28:00Z</dcterms:created>
  <dcterms:modified xsi:type="dcterms:W3CDTF">2022-12-28T14:20:00Z</dcterms:modified>
</cp:coreProperties>
</file>