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7F2C63">
        <w:rPr>
          <w:szCs w:val="28"/>
        </w:rPr>
        <w:t>035</w:t>
      </w:r>
      <w:r w:rsidR="008B21A6">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7F2C63">
        <w:rPr>
          <w:b/>
          <w:szCs w:val="28"/>
        </w:rPr>
        <w:t>035</w:t>
      </w:r>
      <w:r w:rsidR="006B486D" w:rsidRPr="008B21A6">
        <w:rPr>
          <w:b/>
          <w:szCs w:val="28"/>
        </w:rPr>
        <w:t>/ТВРЗ/20</w:t>
      </w:r>
      <w:r w:rsidR="008B21A6" w:rsidRPr="008B21A6">
        <w:rPr>
          <w:b/>
          <w:szCs w:val="28"/>
        </w:rPr>
        <w:t>21</w:t>
      </w:r>
      <w:r w:rsidRPr="008B21A6">
        <w:rPr>
          <w:szCs w:val="28"/>
        </w:rPr>
        <w:t xml:space="preserve"> с</w:t>
      </w:r>
      <w:r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F2C63">
        <w:rPr>
          <w:b/>
          <w:color w:val="auto"/>
          <w:szCs w:val="28"/>
        </w:rPr>
        <w:t xml:space="preserve">стали полосовой горячекатаной 8х120х6050 </w:t>
      </w:r>
      <w:r w:rsidR="00D250CA" w:rsidRPr="00D02C88">
        <w:rPr>
          <w:szCs w:val="28"/>
        </w:rPr>
        <w:t>для нужд Тамбовского ВРЗ АО «ВРМ»</w:t>
      </w:r>
      <w:r w:rsidR="008B21A6">
        <w:rPr>
          <w:szCs w:val="28"/>
        </w:rPr>
        <w:t xml:space="preserve"> </w:t>
      </w:r>
      <w:r w:rsidR="005E10ED">
        <w:rPr>
          <w:szCs w:val="28"/>
        </w:rPr>
        <w:t xml:space="preserve">в </w:t>
      </w:r>
      <w:r w:rsidR="007F2C63">
        <w:rPr>
          <w:szCs w:val="28"/>
        </w:rPr>
        <w:t>декабре 2021 года</w:t>
      </w:r>
      <w:r w:rsidR="003F4699">
        <w:rPr>
          <w:szCs w:val="28"/>
        </w:rPr>
        <w:t>-</w:t>
      </w:r>
      <w:r w:rsidR="007F2C63">
        <w:rPr>
          <w:szCs w:val="28"/>
        </w:rPr>
        <w:t>сентябре 2022</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F2C63">
        <w:rPr>
          <w:b/>
          <w:color w:val="auto"/>
          <w:szCs w:val="28"/>
        </w:rPr>
        <w:t>28</w:t>
      </w:r>
      <w:r w:rsidRPr="00D02C88">
        <w:rPr>
          <w:b/>
          <w:color w:val="auto"/>
          <w:szCs w:val="28"/>
        </w:rPr>
        <w:t>»</w:t>
      </w:r>
      <w:r w:rsidRPr="00D02C88">
        <w:rPr>
          <w:b/>
          <w:szCs w:val="28"/>
        </w:rPr>
        <w:t xml:space="preserve"> </w:t>
      </w:r>
      <w:r w:rsidR="003F4699">
        <w:rPr>
          <w:b/>
          <w:szCs w:val="28"/>
        </w:rPr>
        <w:t>октября</w:t>
      </w:r>
      <w:r w:rsidR="005E10ED">
        <w:rPr>
          <w:b/>
          <w:szCs w:val="28"/>
        </w:rPr>
        <w:t xml:space="preserve"> </w:t>
      </w:r>
      <w:r w:rsidR="003F4699">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7F2C63">
        <w:rPr>
          <w:color w:val="auto"/>
          <w:szCs w:val="28"/>
        </w:rPr>
        <w:t>035</w:t>
      </w:r>
      <w:r w:rsidR="008B21A6" w:rsidRPr="008B21A6">
        <w:rPr>
          <w:color w:val="auto"/>
          <w:szCs w:val="28"/>
        </w:rPr>
        <w:t>/ТВРЗ/2021</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7F2C63" w:rsidRDefault="000A32A5" w:rsidP="002712AB">
      <w:pPr>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7F2C63">
        <w:rPr>
          <w:b/>
          <w:color w:val="auto"/>
          <w:szCs w:val="28"/>
        </w:rPr>
        <w:t xml:space="preserve">стали полосовой горячекатаной 8х120х6050 </w:t>
      </w:r>
      <w:r w:rsidR="00D250CA" w:rsidRPr="00D02C88">
        <w:rPr>
          <w:szCs w:val="28"/>
        </w:rPr>
        <w:t xml:space="preserve">для нужд Тамбовского ВРЗ АО «ВРМ» </w:t>
      </w:r>
      <w:r w:rsidR="007F2C63">
        <w:rPr>
          <w:szCs w:val="28"/>
        </w:rPr>
        <w:t>в декабре 2021 года-сентябре 2022 года</w:t>
      </w:r>
      <w:r w:rsidR="007F2C63"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7F2C63" w:rsidP="002712AB">
      <w:pPr>
        <w:jc w:val="both"/>
        <w:rPr>
          <w:szCs w:val="28"/>
        </w:rPr>
      </w:pPr>
      <w:r>
        <w:rPr>
          <w:b/>
          <w:szCs w:val="28"/>
        </w:rPr>
        <w:t>25 641 000</w:t>
      </w:r>
      <w:r w:rsidR="001F72EE" w:rsidRPr="008B21A6">
        <w:rPr>
          <w:szCs w:val="28"/>
        </w:rPr>
        <w:t xml:space="preserve"> </w:t>
      </w:r>
      <w:r w:rsidR="007F245C" w:rsidRPr="008B21A6">
        <w:rPr>
          <w:szCs w:val="28"/>
        </w:rPr>
        <w:t>(</w:t>
      </w:r>
      <w:r>
        <w:rPr>
          <w:szCs w:val="28"/>
        </w:rPr>
        <w:t>двадцать пять миллионов шестьсот сорок одна тысяча</w:t>
      </w:r>
      <w:r w:rsidR="008B21A6">
        <w:rPr>
          <w:szCs w:val="28"/>
        </w:rPr>
        <w:t>) рублей</w:t>
      </w:r>
      <w:r w:rsidR="000C3268">
        <w:rPr>
          <w:szCs w:val="28"/>
        </w:rPr>
        <w:t xml:space="preserve"> 0</w:t>
      </w:r>
      <w:r w:rsidR="00C62B9A">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7F2C63" w:rsidP="00D8407B">
      <w:pPr>
        <w:jc w:val="both"/>
        <w:rPr>
          <w:szCs w:val="28"/>
        </w:rPr>
      </w:pPr>
      <w:r>
        <w:rPr>
          <w:b/>
          <w:szCs w:val="28"/>
        </w:rPr>
        <w:t>30 769 200</w:t>
      </w:r>
      <w:r w:rsidR="00F50128" w:rsidRPr="008B21A6">
        <w:rPr>
          <w:b/>
          <w:szCs w:val="28"/>
        </w:rPr>
        <w:t xml:space="preserve"> </w:t>
      </w:r>
      <w:r w:rsidR="00D8407B" w:rsidRPr="008B21A6">
        <w:rPr>
          <w:szCs w:val="28"/>
        </w:rPr>
        <w:t>(</w:t>
      </w:r>
      <w:r>
        <w:rPr>
          <w:szCs w:val="28"/>
        </w:rPr>
        <w:t>тридцать миллионов семьсот шестьдесят девять тысяч двести</w:t>
      </w:r>
      <w:r w:rsidR="00D8407B" w:rsidRPr="008B21A6">
        <w:rPr>
          <w:szCs w:val="28"/>
        </w:rPr>
        <w:t xml:space="preserve">) </w:t>
      </w:r>
      <w:r w:rsidR="000C3268">
        <w:rPr>
          <w:szCs w:val="28"/>
        </w:rPr>
        <w:t>рублей</w:t>
      </w:r>
      <w:r w:rsidR="00AE4C44" w:rsidRPr="008B21A6">
        <w:rPr>
          <w:szCs w:val="28"/>
        </w:rPr>
        <w:t xml:space="preserve"> </w:t>
      </w:r>
      <w:r w:rsidR="000C3268">
        <w:rPr>
          <w:szCs w:val="28"/>
        </w:rPr>
        <w:t>00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7F2C63">
        <w:rPr>
          <w:szCs w:val="28"/>
        </w:rPr>
        <w:t xml:space="preserve"> </w:t>
      </w:r>
      <w:r w:rsidR="00AC450F" w:rsidRPr="00D02C88">
        <w:rPr>
          <w:szCs w:val="28"/>
        </w:rPr>
        <w:t xml:space="preserve">    </w:t>
      </w:r>
      <w:r w:rsidR="003F4699">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7F2C63">
        <w:rPr>
          <w:b/>
          <w:szCs w:val="28"/>
        </w:rPr>
        <w:t>035</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7F2C63">
        <w:rPr>
          <w:sz w:val="28"/>
          <w:szCs w:val="28"/>
        </w:rPr>
        <w:t>28</w:t>
      </w:r>
      <w:r w:rsidRPr="00D02C88">
        <w:rPr>
          <w:sz w:val="28"/>
          <w:szCs w:val="28"/>
        </w:rPr>
        <w:t xml:space="preserve">» </w:t>
      </w:r>
      <w:r w:rsidR="003F4699">
        <w:rPr>
          <w:sz w:val="28"/>
          <w:szCs w:val="28"/>
        </w:rPr>
        <w:t>октября</w:t>
      </w:r>
      <w:r w:rsidR="00F011AF" w:rsidRPr="00D02C88">
        <w:rPr>
          <w:sz w:val="28"/>
          <w:szCs w:val="28"/>
        </w:rPr>
        <w:t xml:space="preserve"> </w:t>
      </w:r>
      <w:r w:rsidR="003F4699">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7F2C63">
        <w:rPr>
          <w:szCs w:val="28"/>
        </w:rPr>
        <w:t>035</w:t>
      </w:r>
      <w:r w:rsidR="008B21A6" w:rsidRPr="008B21A6">
        <w:rPr>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7F2C63">
        <w:rPr>
          <w:szCs w:val="28"/>
        </w:rPr>
        <w:t>35</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F3686F" w:rsidRDefault="000A32A5" w:rsidP="00F3686F">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F3686F" w:rsidRPr="00F3686F" w:rsidRDefault="00F3686F" w:rsidP="00F3686F">
      <w:pPr>
        <w:pStyle w:val="a3"/>
        <w:tabs>
          <w:tab w:val="left" w:pos="142"/>
          <w:tab w:val="left" w:pos="284"/>
          <w:tab w:val="left" w:pos="567"/>
          <w:tab w:val="num" w:pos="1418"/>
        </w:tabs>
        <w:suppressAutoHyphens/>
        <w:jc w:val="both"/>
        <w:rPr>
          <w:b w:val="0"/>
          <w:color w:val="000000" w:themeColor="text1"/>
          <w:sz w:val="28"/>
        </w:rPr>
      </w:pPr>
      <w:r w:rsidRPr="00F3686F">
        <w:rPr>
          <w:b w:val="0"/>
          <w:color w:val="000000" w:themeColor="text1"/>
          <w:sz w:val="28"/>
        </w:rPr>
        <w:lastRenderedPageBreak/>
        <w:t xml:space="preserve">    </w:t>
      </w:r>
      <w:bookmarkStart w:id="0" w:name="_GoBack"/>
      <w:bookmarkEnd w:id="0"/>
      <w:r w:rsidR="000A32A5" w:rsidRPr="00D02C88">
        <w:rPr>
          <w:b w:val="0"/>
          <w:color w:val="000000" w:themeColor="text1"/>
          <w:sz w:val="28"/>
          <w:szCs w:val="28"/>
        </w:rPr>
        <w:t xml:space="preserve">  16) </w:t>
      </w:r>
      <w:r>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b w:val="0"/>
          <w:color w:val="000000" w:themeColor="text1"/>
          <w:sz w:val="28"/>
          <w:szCs w:val="28"/>
          <w:lang w:eastAsia="en-US"/>
        </w:rPr>
        <w:t>от 20.01.2017 N ММВ-7-8/20@,</w:t>
      </w:r>
      <w:r>
        <w:rPr>
          <w:rFonts w:eastAsia="Calibri"/>
          <w:i/>
          <w:color w:val="auto"/>
          <w:lang w:eastAsia="en-US"/>
        </w:rPr>
        <w:t xml:space="preserve"> </w:t>
      </w:r>
      <w:r>
        <w:rPr>
          <w:b w:val="0"/>
          <w:color w:val="auto"/>
          <w:sz w:val="28"/>
          <w:szCs w:val="28"/>
        </w:rPr>
        <w:t xml:space="preserve"> </w:t>
      </w:r>
      <w:r>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3686F" w:rsidRDefault="00F3686F" w:rsidP="00F3686F">
      <w:pPr>
        <w:pStyle w:val="a3"/>
        <w:suppressAutoHyphens/>
        <w:spacing w:line="340" w:lineRule="exact"/>
        <w:ind w:firstLine="709"/>
        <w:jc w:val="both"/>
        <w:rPr>
          <w:b w:val="0"/>
          <w:color w:val="000000" w:themeColor="text1"/>
          <w:sz w:val="28"/>
          <w:szCs w:val="28"/>
        </w:rPr>
      </w:pPr>
      <w:r>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F3686F" w:rsidRDefault="00F3686F" w:rsidP="00F3686F">
      <w:pPr>
        <w:pStyle w:val="a3"/>
        <w:suppressAutoHyphens/>
        <w:spacing w:line="340" w:lineRule="exact"/>
        <w:ind w:firstLine="709"/>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F3686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w:t>
      </w:r>
      <w:r w:rsidRPr="00D02C88">
        <w:lastRenderedPageBreak/>
        <w:t>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7F2C63">
        <w:rPr>
          <w:b/>
          <w:szCs w:val="28"/>
        </w:rPr>
        <w:t>28</w:t>
      </w:r>
      <w:r w:rsidRPr="00D02C88">
        <w:rPr>
          <w:b/>
          <w:szCs w:val="28"/>
        </w:rPr>
        <w:t>»</w:t>
      </w:r>
      <w:r w:rsidR="00457A13" w:rsidRPr="00D02C88">
        <w:rPr>
          <w:b/>
          <w:szCs w:val="28"/>
        </w:rPr>
        <w:t xml:space="preserve"> </w:t>
      </w:r>
      <w:r w:rsidR="003F4699">
        <w:rPr>
          <w:b/>
          <w:szCs w:val="28"/>
        </w:rPr>
        <w:t>октября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7F2C63">
        <w:rPr>
          <w:b/>
          <w:szCs w:val="28"/>
        </w:rPr>
        <w:t>14</w:t>
      </w:r>
      <w:r w:rsidR="000A32A5" w:rsidRPr="00D02C88">
        <w:rPr>
          <w:b/>
          <w:szCs w:val="28"/>
        </w:rPr>
        <w:t>-</w:t>
      </w:r>
      <w:r w:rsidR="009F3573" w:rsidRPr="00D02C88">
        <w:rPr>
          <w:b/>
          <w:szCs w:val="28"/>
        </w:rPr>
        <w:t xml:space="preserve">00 часов московского времени </w:t>
      </w:r>
      <w:r w:rsidR="003F2557">
        <w:rPr>
          <w:b/>
          <w:szCs w:val="28"/>
        </w:rPr>
        <w:t>«</w:t>
      </w:r>
      <w:r w:rsidR="007F2C63">
        <w:rPr>
          <w:b/>
          <w:szCs w:val="28"/>
        </w:rPr>
        <w:t>29</w:t>
      </w:r>
      <w:r w:rsidR="000A32A5" w:rsidRPr="00D02C88">
        <w:rPr>
          <w:b/>
          <w:szCs w:val="28"/>
        </w:rPr>
        <w:t>»</w:t>
      </w:r>
      <w:r w:rsidR="008D4557">
        <w:rPr>
          <w:b/>
          <w:szCs w:val="28"/>
        </w:rPr>
        <w:t xml:space="preserve"> </w:t>
      </w:r>
      <w:r w:rsidR="003F4699">
        <w:rPr>
          <w:b/>
          <w:szCs w:val="28"/>
        </w:rPr>
        <w:t>октября</w:t>
      </w:r>
      <w:r w:rsidR="00457A13" w:rsidRPr="00D02C88">
        <w:rPr>
          <w:b/>
          <w:szCs w:val="28"/>
        </w:rPr>
        <w:t xml:space="preserve">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854F6">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7F2C63" w:rsidRPr="00D02C88" w:rsidRDefault="00A44FC7" w:rsidP="007F2C6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101991">
        <w:rPr>
          <w:color w:val="000000" w:themeColor="text1"/>
          <w:szCs w:val="28"/>
        </w:rPr>
        <w:t xml:space="preserve">ие договора на право  поставки </w:t>
      </w:r>
      <w:r w:rsidR="007F2C63">
        <w:rPr>
          <w:b/>
          <w:color w:val="auto"/>
          <w:szCs w:val="28"/>
        </w:rPr>
        <w:t xml:space="preserve">стали полосовой горячекатаной 8х120х6050 </w:t>
      </w:r>
      <w:r w:rsidR="0000230F" w:rsidRPr="00D02C88">
        <w:rPr>
          <w:color w:val="000000" w:themeColor="text1"/>
          <w:szCs w:val="28"/>
        </w:rPr>
        <w:t xml:space="preserve">для нужд Тамбовского ВРЗ АО «ВРМ»  </w:t>
      </w:r>
      <w:r w:rsidR="007F2C63">
        <w:rPr>
          <w:szCs w:val="28"/>
        </w:rPr>
        <w:t>в декабре 2021 года-сентябре 2022 года</w:t>
      </w:r>
      <w:r w:rsidR="007F2C63" w:rsidRPr="00D02C88">
        <w:rPr>
          <w:szCs w:val="28"/>
        </w:rPr>
        <w:t xml:space="preserve">. </w:t>
      </w:r>
    </w:p>
    <w:p w:rsidR="000A32A5" w:rsidRPr="00D02C88" w:rsidRDefault="000A32A5" w:rsidP="007F2C63">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14C0B" w:rsidRPr="008B21A6" w:rsidRDefault="00514C0B" w:rsidP="00514C0B">
      <w:pPr>
        <w:jc w:val="both"/>
        <w:rPr>
          <w:szCs w:val="28"/>
        </w:rPr>
      </w:pPr>
      <w:r>
        <w:rPr>
          <w:b/>
          <w:szCs w:val="28"/>
        </w:rPr>
        <w:t>25 641 000</w:t>
      </w:r>
      <w:r w:rsidRPr="008B21A6">
        <w:rPr>
          <w:szCs w:val="28"/>
        </w:rPr>
        <w:t xml:space="preserve"> (</w:t>
      </w:r>
      <w:r>
        <w:rPr>
          <w:szCs w:val="28"/>
        </w:rPr>
        <w:t>двадцать пять миллионов шестьсот сорок одна тысяча) рублей 00</w:t>
      </w:r>
      <w:r w:rsidRPr="008B21A6">
        <w:rPr>
          <w:szCs w:val="28"/>
        </w:rPr>
        <w:t xml:space="preserve"> коп, без учета НДС;</w:t>
      </w:r>
    </w:p>
    <w:p w:rsidR="00514C0B" w:rsidRPr="00D02C88" w:rsidRDefault="00514C0B" w:rsidP="00514C0B">
      <w:pPr>
        <w:jc w:val="both"/>
        <w:rPr>
          <w:szCs w:val="28"/>
        </w:rPr>
      </w:pPr>
      <w:r>
        <w:rPr>
          <w:b/>
          <w:szCs w:val="28"/>
        </w:rPr>
        <w:t>30 769 200</w:t>
      </w:r>
      <w:r w:rsidRPr="008B21A6">
        <w:rPr>
          <w:b/>
          <w:szCs w:val="28"/>
        </w:rPr>
        <w:t xml:space="preserve"> </w:t>
      </w:r>
      <w:r w:rsidRPr="008B21A6">
        <w:rPr>
          <w:szCs w:val="28"/>
        </w:rPr>
        <w:t>(</w:t>
      </w:r>
      <w:r>
        <w:rPr>
          <w:szCs w:val="28"/>
        </w:rPr>
        <w:t>тридцать миллионов семьсот шестьдесят девять тысяч двести</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01991" w:rsidRDefault="0062356A" w:rsidP="00101991">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514C0B">
        <w:rPr>
          <w:szCs w:val="28"/>
        </w:rPr>
        <w:t>декабре 2021 года-сентябре</w:t>
      </w:r>
      <w:r w:rsidR="00D74A2B">
        <w:rPr>
          <w:szCs w:val="28"/>
        </w:rPr>
        <w:t xml:space="preserve"> </w:t>
      </w:r>
      <w:r w:rsidR="00514C0B">
        <w:rPr>
          <w:szCs w:val="28"/>
        </w:rPr>
        <w:t>2022</w:t>
      </w:r>
      <w:r w:rsidR="00D74A2B">
        <w:rPr>
          <w:szCs w:val="28"/>
        </w:rPr>
        <w:t xml:space="preserve"> года</w:t>
      </w:r>
      <w:r w:rsidRPr="00D02C88">
        <w:rPr>
          <w:szCs w:val="28"/>
        </w:rPr>
        <w:t>.</w:t>
      </w:r>
    </w:p>
    <w:p w:rsidR="00101991" w:rsidRDefault="005615AE" w:rsidP="005615AE">
      <w:pPr>
        <w:pStyle w:val="a7"/>
        <w:spacing w:after="100" w:afterAutospacing="1"/>
        <w:ind w:left="0"/>
        <w:jc w:val="both"/>
        <w:rPr>
          <w:szCs w:val="28"/>
        </w:rPr>
      </w:pPr>
      <w:r w:rsidRPr="00101991">
        <w:rPr>
          <w:szCs w:val="28"/>
        </w:rPr>
        <w:lastRenderedPageBreak/>
        <w:t>7.5.2.</w:t>
      </w:r>
      <w:r w:rsidR="00101991" w:rsidRPr="00101991">
        <w:rPr>
          <w:rFonts w:ascii="Calibri" w:eastAsia="Calibri" w:hAnsi="Calibri"/>
          <w:sz w:val="22"/>
          <w:szCs w:val="28"/>
          <w:lang w:eastAsia="en-US"/>
        </w:rPr>
        <w:t xml:space="preserve"> </w:t>
      </w:r>
      <w:r w:rsidR="00101991" w:rsidRPr="00101991">
        <w:rPr>
          <w:rFonts w:eastAsiaTheme="minorEastAsia"/>
          <w:color w:val="000000" w:themeColor="text1"/>
          <w:szCs w:val="28"/>
          <w:lang w:eastAsia="en-US"/>
        </w:rPr>
        <w:t>Спецификациями определяются только количество, периоды и сроки поставки отдельной партии Товара</w:t>
      </w:r>
    </w:p>
    <w:p w:rsidR="005615AE" w:rsidRPr="00101991" w:rsidRDefault="005615AE" w:rsidP="005615AE">
      <w:pPr>
        <w:pStyle w:val="a7"/>
        <w:spacing w:after="100" w:afterAutospacing="1"/>
        <w:ind w:left="0"/>
        <w:jc w:val="both"/>
        <w:rPr>
          <w:szCs w:val="28"/>
        </w:rPr>
      </w:pPr>
      <w:r w:rsidRPr="006258AF">
        <w:rPr>
          <w:rFonts w:eastAsiaTheme="minorEastAsia"/>
          <w:color w:val="000000" w:themeColor="text1"/>
          <w:szCs w:val="28"/>
          <w:lang w:eastAsia="en-US"/>
        </w:rPr>
        <w:t>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101991" w:rsidRPr="00101991" w:rsidRDefault="00101991" w:rsidP="00101991">
      <w:pPr>
        <w:contextualSpacing/>
        <w:jc w:val="both"/>
        <w:rPr>
          <w:color w:val="auto"/>
          <w:szCs w:val="28"/>
        </w:rPr>
      </w:pPr>
      <w:r>
        <w:rPr>
          <w:color w:val="auto"/>
          <w:szCs w:val="28"/>
        </w:rPr>
        <w:t xml:space="preserve"> </w:t>
      </w:r>
      <w:r w:rsidRPr="00101991">
        <w:rPr>
          <w:color w:val="auto"/>
          <w:szCs w:val="28"/>
        </w:rPr>
        <w:t>7.6.1.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101991" w:rsidRPr="00101991" w:rsidRDefault="00101991" w:rsidP="00101991">
      <w:pPr>
        <w:spacing w:after="100" w:afterAutospacing="1"/>
        <w:ind w:firstLine="709"/>
        <w:contextualSpacing/>
        <w:jc w:val="both"/>
        <w:rPr>
          <w:color w:val="auto"/>
          <w:szCs w:val="28"/>
        </w:rPr>
      </w:pPr>
      <w:r w:rsidRPr="00101991">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1006EB" w:rsidRDefault="0029100D" w:rsidP="001006EB">
      <w:pPr>
        <w:pStyle w:val="a7"/>
        <w:spacing w:after="100" w:afterAutospacing="1"/>
        <w:ind w:left="0" w:firstLine="709"/>
        <w:jc w:val="both"/>
        <w:rPr>
          <w:color w:val="auto"/>
          <w:szCs w:val="28"/>
        </w:rPr>
      </w:pPr>
      <w:r w:rsidRPr="0029100D">
        <w:rPr>
          <w:szCs w:val="28"/>
        </w:rPr>
        <w:t>7.7.1</w:t>
      </w:r>
      <w:r>
        <w:rPr>
          <w:b/>
          <w:szCs w:val="28"/>
        </w:rPr>
        <w:t xml:space="preserve"> </w:t>
      </w:r>
      <w:r w:rsidR="00514C0B">
        <w:rPr>
          <w:color w:val="auto"/>
          <w:szCs w:val="28"/>
        </w:rPr>
        <w:t>Авансовый платеж в размере 100% от суммы стоимости партии Товара (квартальный объем),</w:t>
      </w:r>
      <w:r w:rsidR="001006EB">
        <w:rPr>
          <w:color w:val="auto"/>
          <w:szCs w:val="28"/>
        </w:rPr>
        <w:t xml:space="preserve"> </w:t>
      </w:r>
      <w:r w:rsidR="00514C0B">
        <w:rPr>
          <w:color w:val="auto"/>
          <w:szCs w:val="28"/>
        </w:rPr>
        <w:t xml:space="preserve">указанной в подписанной Сторонами Спецификации, осуществляется Покупателем в течение 10(десяти) календарных дней с даты выставления счета </w:t>
      </w:r>
      <w:r w:rsidR="001006EB">
        <w:rPr>
          <w:color w:val="auto"/>
          <w:szCs w:val="28"/>
        </w:rPr>
        <w:t>Поставщиком,</w:t>
      </w:r>
      <w:r w:rsidR="001006EB" w:rsidRPr="001006EB">
        <w:rPr>
          <w:bCs/>
          <w:color w:val="auto"/>
          <w:szCs w:val="28"/>
        </w:rPr>
        <w:t xml:space="preserve"> </w:t>
      </w:r>
      <w:r w:rsidR="001006EB" w:rsidRPr="00C43E11">
        <w:rPr>
          <w:bCs/>
          <w:color w:val="auto"/>
          <w:szCs w:val="28"/>
        </w:rPr>
        <w:t>после подписания настоящего Договора</w:t>
      </w:r>
      <w:r w:rsidR="001006EB" w:rsidRPr="00C43E11">
        <w:rPr>
          <w:color w:val="auto"/>
          <w:szCs w:val="28"/>
        </w:rPr>
        <w:t>.</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101991">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006EB">
        <w:rPr>
          <w:sz w:val="22"/>
          <w:szCs w:val="22"/>
        </w:rPr>
        <w:t>035</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006EB">
        <w:rPr>
          <w:szCs w:val="28"/>
        </w:rPr>
        <w:t>035</w:t>
      </w:r>
      <w:r w:rsidR="00D74A2B" w:rsidRPr="00D74A2B">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1006EB" w:rsidRDefault="0040015D" w:rsidP="001006EB">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006EB">
        <w:rPr>
          <w:szCs w:val="28"/>
        </w:rPr>
        <w:t>035</w:t>
      </w:r>
      <w:r w:rsidR="00D74A2B" w:rsidRPr="00D74A2B">
        <w:rPr>
          <w:szCs w:val="28"/>
        </w:rPr>
        <w:t>/ТВРЗ/2021</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006EB">
        <w:rPr>
          <w:b/>
          <w:color w:val="auto"/>
          <w:szCs w:val="28"/>
        </w:rPr>
        <w:t xml:space="preserve">стали полосовой горячекатаной 8х120х6050 </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1006EB">
        <w:rPr>
          <w:szCs w:val="28"/>
        </w:rPr>
        <w:t>в декабре 2021 года-сентябре 2022 года</w:t>
      </w:r>
      <w:r w:rsidR="001006EB" w:rsidRPr="00D02C88">
        <w:rPr>
          <w:szCs w:val="28"/>
        </w:rPr>
        <w:t xml:space="preserve">. </w:t>
      </w:r>
    </w:p>
    <w:p w:rsidR="0040015D" w:rsidRPr="00D02C88" w:rsidRDefault="00C850FF" w:rsidP="001006EB">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006EB">
        <w:rPr>
          <w:sz w:val="22"/>
          <w:szCs w:val="22"/>
        </w:rPr>
        <w:t>35</w:t>
      </w:r>
      <w:r w:rsidR="00D74A2B" w:rsidRPr="00D74A2B">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006EB">
        <w:rPr>
          <w:sz w:val="22"/>
          <w:szCs w:val="22"/>
        </w:rPr>
        <w:t>035</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006EB">
        <w:rPr>
          <w:szCs w:val="28"/>
        </w:rPr>
        <w:t>035</w:t>
      </w:r>
      <w:r w:rsidR="00D74A2B" w:rsidRPr="00D74A2B">
        <w:rPr>
          <w:szCs w:val="28"/>
        </w:rPr>
        <w:t>/ТВРЗ/2021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006EB">
        <w:rPr>
          <w:sz w:val="24"/>
        </w:rPr>
        <w:t>35</w:t>
      </w:r>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67348" w:rsidRDefault="000B435D" w:rsidP="00967348">
      <w:pPr>
        <w:pStyle w:val="a7"/>
        <w:spacing w:after="100" w:afterAutospacing="1"/>
        <w:ind w:left="0" w:firstLine="709"/>
        <w:jc w:val="both"/>
        <w:rPr>
          <w:sz w:val="24"/>
        </w:rPr>
      </w:pPr>
      <w:r w:rsidRPr="00790A45">
        <w:rPr>
          <w:bCs/>
          <w:sz w:val="24"/>
        </w:rPr>
        <w:t>2.4</w:t>
      </w:r>
      <w:r w:rsidRPr="00967348">
        <w:rPr>
          <w:bCs/>
          <w:sz w:val="24"/>
        </w:rPr>
        <w:t xml:space="preserve">. </w:t>
      </w:r>
      <w:r w:rsidR="00967348" w:rsidRPr="00967348">
        <w:rPr>
          <w:color w:val="auto"/>
          <w:sz w:val="24"/>
        </w:rPr>
        <w:t>Авансовый платеж в размере 100% от суммы стоимости партии Товара (квартальный объем), указанной в подписанной Сторонами Спецификации, осуществляется Покупателем в течение 10(десяти) календарных дней с даты выставления счета Поставщиком,</w:t>
      </w:r>
      <w:r w:rsidR="00967348" w:rsidRPr="00967348">
        <w:rPr>
          <w:bCs/>
          <w:color w:val="auto"/>
          <w:sz w:val="24"/>
        </w:rPr>
        <w:t xml:space="preserve"> после подписания настоящего Договора</w:t>
      </w:r>
      <w:r w:rsidR="00967348">
        <w:rPr>
          <w:color w:val="auto"/>
          <w:sz w:val="24"/>
        </w:rPr>
        <w:t xml:space="preserve"> </w:t>
      </w:r>
      <w:r w:rsidRPr="00790A45">
        <w:rPr>
          <w:bCs/>
          <w:spacing w:val="-8"/>
          <w:sz w:val="24"/>
        </w:rPr>
        <w:t>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67348" w:rsidRDefault="000B435D" w:rsidP="00967348">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67348" w:rsidRDefault="000B435D" w:rsidP="00967348">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967348" w:rsidRDefault="00875B5E" w:rsidP="00967348">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w:t>
      </w:r>
      <w:r w:rsidRPr="00F3633F">
        <w:rPr>
          <w:bCs/>
          <w:spacing w:val="-8"/>
          <w:sz w:val="24"/>
        </w:rPr>
        <w:lastRenderedPageBreak/>
        <w:t xml:space="preserve">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w:t>
      </w:r>
      <w:r w:rsidRPr="00F3633F">
        <w:rPr>
          <w:bCs/>
          <w:spacing w:val="-8"/>
          <w:sz w:val="24"/>
        </w:rPr>
        <w:lastRenderedPageBreak/>
        <w:t xml:space="preserve">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5.4. Если обстоятельства непреодолимой силы продолжают действовать более трех месяцев </w:t>
      </w:r>
      <w:r w:rsidRPr="00F3633F">
        <w:rPr>
          <w:bCs/>
          <w:spacing w:val="-8"/>
          <w:sz w:val="24"/>
        </w:rPr>
        <w:lastRenderedPageBreak/>
        <w:t>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F3633F">
        <w:rPr>
          <w:bCs/>
          <w:sz w:val="24"/>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 xml:space="preserve">штатных работников), при привлечении третьих лиц Поставщик заключит с ними </w:t>
      </w:r>
      <w:r w:rsidRPr="00F3633F">
        <w:rPr>
          <w:spacing w:val="-3"/>
          <w:sz w:val="24"/>
        </w:rPr>
        <w:lastRenderedPageBreak/>
        <w:t>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83" w:rsidRDefault="00863783" w:rsidP="00F532E5">
      <w:r>
        <w:separator/>
      </w:r>
    </w:p>
  </w:endnote>
  <w:endnote w:type="continuationSeparator" w:id="0">
    <w:p w:rsidR="00863783" w:rsidRDefault="0086378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83" w:rsidRDefault="00863783" w:rsidP="00F532E5">
      <w:r>
        <w:separator/>
      </w:r>
    </w:p>
  </w:footnote>
  <w:footnote w:type="continuationSeparator" w:id="0">
    <w:p w:rsidR="00863783" w:rsidRDefault="0086378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0641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3268"/>
    <w:rsid w:val="000C5255"/>
    <w:rsid w:val="000C52B1"/>
    <w:rsid w:val="000C71D6"/>
    <w:rsid w:val="000D548B"/>
    <w:rsid w:val="000D56D7"/>
    <w:rsid w:val="000D672A"/>
    <w:rsid w:val="000E3997"/>
    <w:rsid w:val="000F2447"/>
    <w:rsid w:val="000F2F42"/>
    <w:rsid w:val="000F6C40"/>
    <w:rsid w:val="001006EB"/>
    <w:rsid w:val="00101991"/>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33A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34511"/>
    <w:rsid w:val="00455DB4"/>
    <w:rsid w:val="00457A13"/>
    <w:rsid w:val="004769B6"/>
    <w:rsid w:val="00486A52"/>
    <w:rsid w:val="00490F47"/>
    <w:rsid w:val="0049652D"/>
    <w:rsid w:val="0049764B"/>
    <w:rsid w:val="004978CE"/>
    <w:rsid w:val="004A35BA"/>
    <w:rsid w:val="004A5532"/>
    <w:rsid w:val="004B05B7"/>
    <w:rsid w:val="004C354B"/>
    <w:rsid w:val="004C3C83"/>
    <w:rsid w:val="004C6836"/>
    <w:rsid w:val="004D1058"/>
    <w:rsid w:val="004D587C"/>
    <w:rsid w:val="004E3D12"/>
    <w:rsid w:val="004F4F90"/>
    <w:rsid w:val="004F574E"/>
    <w:rsid w:val="00500254"/>
    <w:rsid w:val="00514C0B"/>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369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2C63"/>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63783"/>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67348"/>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5B07"/>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854F6"/>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266F7"/>
    <w:rsid w:val="00C3180B"/>
    <w:rsid w:val="00C37BAE"/>
    <w:rsid w:val="00C40DE5"/>
    <w:rsid w:val="00C579AD"/>
    <w:rsid w:val="00C62B9A"/>
    <w:rsid w:val="00C639C6"/>
    <w:rsid w:val="00C641DD"/>
    <w:rsid w:val="00C66BC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2F0"/>
    <w:rsid w:val="00D80377"/>
    <w:rsid w:val="00D839E6"/>
    <w:rsid w:val="00D8407B"/>
    <w:rsid w:val="00D85221"/>
    <w:rsid w:val="00D866B5"/>
    <w:rsid w:val="00D90BEF"/>
    <w:rsid w:val="00D934A8"/>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05E"/>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0016"/>
    <w:rsid w:val="00F11A13"/>
    <w:rsid w:val="00F11AC2"/>
    <w:rsid w:val="00F12E88"/>
    <w:rsid w:val="00F14E91"/>
    <w:rsid w:val="00F15F04"/>
    <w:rsid w:val="00F24126"/>
    <w:rsid w:val="00F27962"/>
    <w:rsid w:val="00F351CF"/>
    <w:rsid w:val="00F36249"/>
    <w:rsid w:val="00F3633F"/>
    <w:rsid w:val="00F3686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786065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943462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23B32-06F8-4053-8D60-EBB7B09F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9998</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cp:revision>
  <cp:lastPrinted>2021-10-20T14:20:00Z</cp:lastPrinted>
  <dcterms:created xsi:type="dcterms:W3CDTF">2021-10-21T06:04:00Z</dcterms:created>
  <dcterms:modified xsi:type="dcterms:W3CDTF">2021-10-21T06:04:00Z</dcterms:modified>
</cp:coreProperties>
</file>