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D6297">
        <w:rPr>
          <w:b/>
          <w:bCs/>
          <w:sz w:val="28"/>
          <w:szCs w:val="28"/>
        </w:rPr>
        <w:t xml:space="preserve">Воронежского ВРЗ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</w:t>
      </w:r>
      <w:r w:rsidR="009D6297">
        <w:rPr>
          <w:b/>
          <w:bCs/>
          <w:sz w:val="28"/>
          <w:szCs w:val="28"/>
        </w:rPr>
        <w:t>Ижокин Г</w:t>
      </w:r>
      <w:r>
        <w:rPr>
          <w:b/>
          <w:bCs/>
          <w:sz w:val="28"/>
          <w:szCs w:val="28"/>
        </w:rPr>
        <w:t>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>«</w:t>
      </w:r>
      <w:r w:rsidR="00765FA3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 w:rsidR="009D6297">
        <w:rPr>
          <w:b/>
          <w:bCs/>
          <w:sz w:val="28"/>
        </w:rPr>
        <w:t>ноября</w:t>
      </w:r>
      <w:r w:rsidR="001C065E" w:rsidRPr="00866D5D">
        <w:rPr>
          <w:b/>
          <w:bCs/>
          <w:sz w:val="28"/>
        </w:rPr>
        <w:t xml:space="preserve"> </w:t>
      </w:r>
      <w:r w:rsidR="00931FCD" w:rsidRPr="00866D5D">
        <w:rPr>
          <w:b/>
          <w:bCs/>
          <w:sz w:val="28"/>
        </w:rPr>
        <w:t xml:space="preserve"> </w:t>
      </w:r>
      <w:r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E267B4" w:rsidRPr="003E31E2" w:rsidRDefault="00B007F8" w:rsidP="00E267B4">
      <w:pPr>
        <w:jc w:val="both"/>
        <w:rPr>
          <w:sz w:val="28"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E267B4" w:rsidRPr="003E31E2">
        <w:rPr>
          <w:b/>
          <w:sz w:val="28"/>
          <w:szCs w:val="28"/>
        </w:rPr>
        <w:t xml:space="preserve">№ </w:t>
      </w:r>
      <w:r w:rsidR="00E267B4" w:rsidRPr="003E31E2">
        <w:rPr>
          <w:b/>
          <w:color w:val="000000"/>
          <w:sz w:val="28"/>
          <w:szCs w:val="28"/>
        </w:rPr>
        <w:t>ОК/</w:t>
      </w:r>
      <w:r w:rsidR="009D6297">
        <w:rPr>
          <w:b/>
          <w:color w:val="000000"/>
          <w:sz w:val="28"/>
          <w:szCs w:val="28"/>
        </w:rPr>
        <w:t>00</w:t>
      </w:r>
      <w:r w:rsidR="00765FA3">
        <w:rPr>
          <w:b/>
          <w:color w:val="000000"/>
          <w:sz w:val="28"/>
          <w:szCs w:val="28"/>
        </w:rPr>
        <w:t>2</w:t>
      </w:r>
      <w:r w:rsidR="00E267B4" w:rsidRPr="003E31E2">
        <w:rPr>
          <w:b/>
          <w:color w:val="000000"/>
          <w:sz w:val="28"/>
          <w:szCs w:val="28"/>
        </w:rPr>
        <w:t>-</w:t>
      </w:r>
      <w:r w:rsidR="009D6297">
        <w:rPr>
          <w:b/>
          <w:color w:val="000000"/>
          <w:sz w:val="28"/>
          <w:szCs w:val="28"/>
        </w:rPr>
        <w:t xml:space="preserve">ВВРЗ </w:t>
      </w:r>
      <w:r w:rsidR="00E267B4" w:rsidRPr="003E31E2">
        <w:rPr>
          <w:b/>
          <w:color w:val="000000"/>
          <w:sz w:val="28"/>
          <w:szCs w:val="28"/>
        </w:rPr>
        <w:t>АО ВРМ/2020</w:t>
      </w:r>
      <w:r w:rsidR="00765FA3">
        <w:rPr>
          <w:b/>
          <w:color w:val="000000"/>
          <w:sz w:val="28"/>
          <w:szCs w:val="28"/>
        </w:rPr>
        <w:t xml:space="preserve">/ОМТО </w:t>
      </w:r>
      <w:r w:rsidR="00E267B4" w:rsidRPr="003E31E2">
        <w:rPr>
          <w:b/>
          <w:color w:val="000000"/>
          <w:sz w:val="28"/>
          <w:szCs w:val="28"/>
        </w:rPr>
        <w:t xml:space="preserve"> </w:t>
      </w:r>
      <w:r w:rsidR="00E267B4" w:rsidRPr="003E31E2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9D6297">
        <w:rPr>
          <w:b/>
          <w:sz w:val="28"/>
          <w:szCs w:val="28"/>
        </w:rPr>
        <w:t xml:space="preserve">ТМЦ </w:t>
      </w:r>
      <w:r w:rsidR="00E267B4" w:rsidRPr="003E31E2">
        <w:rPr>
          <w:color w:val="000000"/>
          <w:sz w:val="28"/>
          <w:szCs w:val="28"/>
        </w:rPr>
        <w:t xml:space="preserve"> </w:t>
      </w:r>
      <w:r w:rsidR="00E267B4" w:rsidRPr="003E31E2">
        <w:rPr>
          <w:sz w:val="28"/>
          <w:szCs w:val="28"/>
        </w:rPr>
        <w:t>(далее – Товар) для нужд Воронежского ВРЗ - филиал</w:t>
      </w:r>
      <w:r w:rsidR="009D6297">
        <w:rPr>
          <w:sz w:val="28"/>
          <w:szCs w:val="28"/>
        </w:rPr>
        <w:t>а</w:t>
      </w:r>
      <w:r w:rsidR="00E267B4" w:rsidRPr="003E31E2">
        <w:rPr>
          <w:sz w:val="28"/>
          <w:szCs w:val="28"/>
        </w:rPr>
        <w:t xml:space="preserve"> АО «ВРМ» </w:t>
      </w:r>
      <w:r w:rsidR="00E267B4" w:rsidRPr="003E31E2">
        <w:rPr>
          <w:color w:val="212121"/>
          <w:sz w:val="28"/>
          <w:szCs w:val="28"/>
          <w:shd w:val="clear" w:color="auto" w:fill="FFFFFF"/>
        </w:rPr>
        <w:t xml:space="preserve">в </w:t>
      </w:r>
      <w:r w:rsidR="009D6297">
        <w:rPr>
          <w:color w:val="212121"/>
          <w:sz w:val="28"/>
          <w:szCs w:val="28"/>
          <w:shd w:val="clear" w:color="auto" w:fill="FFFFFF"/>
        </w:rPr>
        <w:t xml:space="preserve"> </w:t>
      </w:r>
      <w:r w:rsidR="00E267B4" w:rsidRPr="003E31E2">
        <w:rPr>
          <w:color w:val="212121"/>
          <w:sz w:val="28"/>
          <w:szCs w:val="28"/>
          <w:shd w:val="clear" w:color="auto" w:fill="FFFFFF"/>
        </w:rPr>
        <w:t>2021г.</w:t>
      </w:r>
    </w:p>
    <w:p w:rsidR="00B007F8" w:rsidRPr="002608C3" w:rsidRDefault="00B007F8" w:rsidP="00AE5DC3">
      <w:pPr>
        <w:pStyle w:val="12"/>
        <w:numPr>
          <w:ilvl w:val="0"/>
          <w:numId w:val="26"/>
        </w:numPr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267B4" w:rsidRDefault="00FD5F3F" w:rsidP="00E267B4">
      <w:pPr>
        <w:pStyle w:val="12"/>
        <w:rPr>
          <w:color w:val="212121"/>
          <w:szCs w:val="28"/>
          <w:shd w:val="clear" w:color="auto" w:fill="FFFFFF"/>
        </w:rPr>
      </w:pPr>
      <w:r w:rsidRPr="00297EE3">
        <w:rPr>
          <w:szCs w:val="28"/>
        </w:rPr>
        <w:t xml:space="preserve">Настоящая </w:t>
      </w:r>
      <w:r w:rsidR="00565788" w:rsidRPr="00297EE3">
        <w:rPr>
          <w:szCs w:val="28"/>
        </w:rPr>
        <w:t xml:space="preserve">методика разработана для оценки </w:t>
      </w:r>
      <w:r w:rsidRPr="00297EE3">
        <w:rPr>
          <w:szCs w:val="28"/>
        </w:rPr>
        <w:t xml:space="preserve">заявок, </w:t>
      </w:r>
      <w:r w:rsidR="003727D8" w:rsidRPr="00297EE3">
        <w:rPr>
          <w:szCs w:val="28"/>
        </w:rPr>
        <w:t>п</w:t>
      </w:r>
      <w:r w:rsidR="00565788" w:rsidRPr="00297EE3">
        <w:rPr>
          <w:szCs w:val="28"/>
        </w:rPr>
        <w:t xml:space="preserve">редставленных для участия </w:t>
      </w:r>
      <w:r w:rsidR="00E10178" w:rsidRPr="00297EE3">
        <w:rPr>
          <w:szCs w:val="28"/>
        </w:rPr>
        <w:t>в открытом</w:t>
      </w:r>
      <w:r w:rsidRPr="00297EE3">
        <w:rPr>
          <w:szCs w:val="28"/>
        </w:rPr>
        <w:t xml:space="preserve"> конкурс</w:t>
      </w:r>
      <w:r w:rsidR="00565788" w:rsidRPr="00297EE3">
        <w:rPr>
          <w:szCs w:val="28"/>
        </w:rPr>
        <w:t xml:space="preserve">е </w:t>
      </w:r>
      <w:r w:rsidR="00E267B4" w:rsidRPr="003E31E2">
        <w:rPr>
          <w:b/>
          <w:szCs w:val="28"/>
        </w:rPr>
        <w:t xml:space="preserve"> </w:t>
      </w:r>
      <w:r w:rsidR="009D6297" w:rsidRPr="003E31E2">
        <w:rPr>
          <w:b/>
          <w:szCs w:val="28"/>
        </w:rPr>
        <w:t xml:space="preserve">№ </w:t>
      </w:r>
      <w:r w:rsidR="009D6297" w:rsidRPr="003E31E2">
        <w:rPr>
          <w:b/>
          <w:color w:val="000000"/>
          <w:szCs w:val="28"/>
        </w:rPr>
        <w:t>ОК/</w:t>
      </w:r>
      <w:r w:rsidR="009D6297">
        <w:rPr>
          <w:b/>
          <w:color w:val="000000"/>
          <w:szCs w:val="28"/>
        </w:rPr>
        <w:t>00</w:t>
      </w:r>
      <w:r w:rsidR="00765FA3">
        <w:rPr>
          <w:b/>
          <w:color w:val="000000"/>
          <w:szCs w:val="28"/>
        </w:rPr>
        <w:t>2</w:t>
      </w:r>
      <w:r w:rsidR="009D6297" w:rsidRPr="003E31E2">
        <w:rPr>
          <w:b/>
          <w:color w:val="000000"/>
          <w:szCs w:val="28"/>
        </w:rPr>
        <w:t>-</w:t>
      </w:r>
      <w:r w:rsidR="009D6297">
        <w:rPr>
          <w:b/>
          <w:color w:val="000000"/>
          <w:szCs w:val="28"/>
        </w:rPr>
        <w:t xml:space="preserve">ВВРЗ </w:t>
      </w:r>
      <w:r w:rsidR="009D6297" w:rsidRPr="003E31E2">
        <w:rPr>
          <w:b/>
          <w:color w:val="000000"/>
          <w:szCs w:val="28"/>
        </w:rPr>
        <w:t>АО ВРМ/2020</w:t>
      </w:r>
      <w:r w:rsidR="00765FA3">
        <w:rPr>
          <w:b/>
          <w:color w:val="000000"/>
          <w:szCs w:val="28"/>
        </w:rPr>
        <w:t>/ОМТО</w:t>
      </w:r>
      <w:r w:rsidR="009D6297">
        <w:rPr>
          <w:b/>
          <w:color w:val="000000"/>
          <w:szCs w:val="28"/>
        </w:rPr>
        <w:t xml:space="preserve"> </w:t>
      </w:r>
      <w:r w:rsidR="00E267B4" w:rsidRPr="003E31E2">
        <w:rPr>
          <w:b/>
          <w:color w:val="000000"/>
          <w:szCs w:val="28"/>
        </w:rPr>
        <w:t xml:space="preserve"> </w:t>
      </w:r>
      <w:r w:rsidR="00297EE3" w:rsidRPr="004A416E">
        <w:rPr>
          <w:szCs w:val="28"/>
        </w:rPr>
        <w:t>(далее</w:t>
      </w:r>
      <w:r w:rsidR="00297EE3" w:rsidRPr="00145F3E">
        <w:rPr>
          <w:szCs w:val="28"/>
        </w:rPr>
        <w:t xml:space="preserve"> – открытый конкурс) на право заключения Договора поставки </w:t>
      </w:r>
      <w:r w:rsidR="009D6297">
        <w:rPr>
          <w:b/>
          <w:szCs w:val="28"/>
        </w:rPr>
        <w:t>ТМЦ</w:t>
      </w:r>
      <w:r w:rsidR="00297EE3" w:rsidRPr="00A23ACF">
        <w:rPr>
          <w:color w:val="000000"/>
          <w:szCs w:val="28"/>
        </w:rPr>
        <w:t xml:space="preserve"> </w:t>
      </w:r>
      <w:r w:rsidR="00297EE3" w:rsidRPr="00A23ACF">
        <w:rPr>
          <w:szCs w:val="28"/>
        </w:rPr>
        <w:t xml:space="preserve">(далее – Товар) </w:t>
      </w:r>
      <w:r w:rsidR="00E267B4" w:rsidRPr="003E31E2">
        <w:rPr>
          <w:szCs w:val="28"/>
        </w:rPr>
        <w:t>для нужд Воронежского ВРЗ - филиал</w:t>
      </w:r>
      <w:r w:rsidR="009D6297">
        <w:rPr>
          <w:szCs w:val="28"/>
        </w:rPr>
        <w:t>а</w:t>
      </w:r>
      <w:r w:rsidR="00E267B4" w:rsidRPr="003E31E2">
        <w:rPr>
          <w:szCs w:val="28"/>
        </w:rPr>
        <w:t xml:space="preserve"> АО «ВРМ» </w:t>
      </w:r>
      <w:r w:rsidR="009D6297">
        <w:rPr>
          <w:szCs w:val="28"/>
        </w:rPr>
        <w:t>в</w:t>
      </w:r>
      <w:r w:rsidR="00E267B4" w:rsidRPr="003E31E2">
        <w:rPr>
          <w:color w:val="212121"/>
          <w:szCs w:val="28"/>
          <w:shd w:val="clear" w:color="auto" w:fill="FFFFFF"/>
        </w:rPr>
        <w:t xml:space="preserve"> 2021г.</w:t>
      </w:r>
    </w:p>
    <w:p w:rsidR="00EA2B4A" w:rsidRPr="00297EE3" w:rsidRDefault="00E13BA5" w:rsidP="00E267B4">
      <w:pPr>
        <w:pStyle w:val="12"/>
        <w:rPr>
          <w:szCs w:val="28"/>
        </w:rPr>
      </w:pPr>
      <w:r w:rsidRPr="00297EE3">
        <w:rPr>
          <w:szCs w:val="28"/>
        </w:rPr>
        <w:t xml:space="preserve"> </w:t>
      </w:r>
      <w:r w:rsidR="00782748" w:rsidRPr="00297EE3">
        <w:rPr>
          <w:szCs w:val="28"/>
        </w:rPr>
        <w:t xml:space="preserve"> </w:t>
      </w:r>
      <w:r w:rsidR="00EA2B4A" w:rsidRPr="00297EE3">
        <w:rPr>
          <w:szCs w:val="28"/>
        </w:rPr>
        <w:t>После получения заявок претендентов</w:t>
      </w:r>
      <w:r w:rsidR="00C75C71" w:rsidRPr="00297EE3">
        <w:rPr>
          <w:szCs w:val="28"/>
        </w:rPr>
        <w:t>,</w:t>
      </w:r>
      <w:r w:rsidR="00EA2B4A" w:rsidRPr="00297EE3">
        <w:rPr>
          <w:szCs w:val="28"/>
        </w:rPr>
        <w:t xml:space="preserve"> </w:t>
      </w:r>
      <w:r w:rsidR="006C1F2D" w:rsidRPr="00297EE3">
        <w:rPr>
          <w:szCs w:val="28"/>
        </w:rPr>
        <w:t>Экспертная группа</w:t>
      </w:r>
      <w:r w:rsidR="00EA2B4A" w:rsidRPr="00297EE3">
        <w:rPr>
          <w:szCs w:val="28"/>
        </w:rPr>
        <w:t xml:space="preserve"> рассматрива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 заявки</w:t>
      </w:r>
      <w:r w:rsidR="00C75C71" w:rsidRPr="00297EE3">
        <w:rPr>
          <w:szCs w:val="28"/>
        </w:rPr>
        <w:t xml:space="preserve">, </w:t>
      </w:r>
      <w:r w:rsidR="00EA2B4A" w:rsidRPr="00297EE3">
        <w:rPr>
          <w:szCs w:val="28"/>
        </w:rPr>
        <w:t>провод</w:t>
      </w:r>
      <w:r w:rsidR="006C1F2D" w:rsidRPr="00297EE3">
        <w:rPr>
          <w:szCs w:val="28"/>
        </w:rPr>
        <w:t>и</w:t>
      </w:r>
      <w:r w:rsidR="00EA2B4A" w:rsidRPr="00297EE3">
        <w:rPr>
          <w:szCs w:val="28"/>
        </w:rPr>
        <w:t>т предварительное изучение и проверку документов</w:t>
      </w:r>
      <w:r w:rsidR="00C75C71" w:rsidRPr="00297EE3">
        <w:rPr>
          <w:szCs w:val="28"/>
        </w:rPr>
        <w:t xml:space="preserve"> и</w:t>
      </w:r>
      <w:r w:rsidR="00EA2B4A" w:rsidRPr="00297EE3">
        <w:rPr>
          <w:szCs w:val="28"/>
        </w:rPr>
        <w:t xml:space="preserve"> определя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</w:t>
      </w:r>
      <w:r w:rsidR="006C1F2D" w:rsidRPr="00297EE3">
        <w:rPr>
          <w:szCs w:val="28"/>
        </w:rPr>
        <w:t xml:space="preserve"> </w:t>
      </w:r>
      <w:r w:rsidR="00EA2B4A" w:rsidRPr="00297EE3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D6297" w:rsidRDefault="00524B08" w:rsidP="00082D5B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    </w:t>
      </w:r>
    </w:p>
    <w:p w:rsidR="009D6297" w:rsidRDefault="009D6297" w:rsidP="00082D5B">
      <w:pPr>
        <w:spacing w:before="120"/>
        <w:ind w:left="7788"/>
        <w:jc w:val="both"/>
        <w:rPr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Ц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0477DD" w:rsidRPr="00F51A1A" w:rsidRDefault="000477DD" w:rsidP="000477D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0477DD" w:rsidRPr="00F51A1A" w:rsidRDefault="000477DD" w:rsidP="000477D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Ц ∑ср.год. – среднегодовая стоимость поставленных Товаров, по предмету конкурса, поставленных участником за 201</w:t>
            </w:r>
            <w:r>
              <w:rPr>
                <w:bCs/>
                <w:sz w:val="21"/>
                <w:szCs w:val="21"/>
              </w:rPr>
              <w:t xml:space="preserve">9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0477DD" w:rsidRPr="00F51A1A" w:rsidRDefault="000477DD" w:rsidP="000477D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Ц Ʃ ср. год. разм. заказа –</w:t>
            </w:r>
            <w:r w:rsidRPr="008100CC">
              <w:rPr>
                <w:bCs/>
                <w:sz w:val="21"/>
                <w:szCs w:val="21"/>
              </w:rPr>
              <w:t xml:space="preserve">начальная </w:t>
            </w:r>
            <w:r w:rsidRPr="00F51A1A">
              <w:rPr>
                <w:bCs/>
                <w:sz w:val="21"/>
                <w:szCs w:val="21"/>
              </w:rPr>
              <w:t xml:space="preserve"> (максимальная) стоимость размещаемого заказа; </w:t>
            </w:r>
          </w:p>
          <w:p w:rsidR="002957C7" w:rsidRPr="00F51A1A" w:rsidRDefault="000477DD" w:rsidP="000477D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20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Д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6" DrawAspect="Content" ObjectID="_1667386141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7" DrawAspect="Content" ObjectID="_1667386142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8" DrawAspect="Content" ObjectID="_1667386143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9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9" DrawAspect="Content" ObjectID="_1667386144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477DD" w:rsidRPr="00FE5057" w:rsidRDefault="00D83D68" w:rsidP="000477DD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FE5057" w:rsidRPr="00FE5057">
        <w:rPr>
          <w:b/>
          <w:sz w:val="28"/>
          <w:szCs w:val="28"/>
        </w:rPr>
        <w:t xml:space="preserve">№ </w:t>
      </w:r>
      <w:r w:rsidR="009D6297" w:rsidRPr="003E31E2">
        <w:rPr>
          <w:b/>
          <w:sz w:val="28"/>
          <w:szCs w:val="28"/>
        </w:rPr>
        <w:t xml:space="preserve">№ </w:t>
      </w:r>
      <w:r w:rsidR="009D6297" w:rsidRPr="003E31E2">
        <w:rPr>
          <w:b/>
          <w:color w:val="000000"/>
          <w:sz w:val="28"/>
          <w:szCs w:val="28"/>
        </w:rPr>
        <w:t>ОК/</w:t>
      </w:r>
      <w:r w:rsidR="009D6297">
        <w:rPr>
          <w:b/>
          <w:color w:val="000000"/>
          <w:sz w:val="28"/>
          <w:szCs w:val="28"/>
        </w:rPr>
        <w:t>00</w:t>
      </w:r>
      <w:r w:rsidR="00765FA3">
        <w:rPr>
          <w:b/>
          <w:color w:val="000000"/>
          <w:sz w:val="28"/>
          <w:szCs w:val="28"/>
        </w:rPr>
        <w:t>2</w:t>
      </w:r>
      <w:r w:rsidR="009D6297" w:rsidRPr="003E31E2">
        <w:rPr>
          <w:b/>
          <w:color w:val="000000"/>
          <w:sz w:val="28"/>
          <w:szCs w:val="28"/>
        </w:rPr>
        <w:t>-</w:t>
      </w:r>
      <w:r w:rsidR="009D6297">
        <w:rPr>
          <w:b/>
          <w:color w:val="000000"/>
          <w:sz w:val="28"/>
          <w:szCs w:val="28"/>
        </w:rPr>
        <w:t xml:space="preserve">ВВРЗ </w:t>
      </w:r>
      <w:r w:rsidR="009D6297" w:rsidRPr="003E31E2">
        <w:rPr>
          <w:b/>
          <w:color w:val="000000"/>
          <w:sz w:val="28"/>
          <w:szCs w:val="28"/>
        </w:rPr>
        <w:t>АО ВРМ/2020</w:t>
      </w:r>
      <w:r w:rsidR="00765FA3">
        <w:rPr>
          <w:b/>
          <w:color w:val="000000"/>
          <w:sz w:val="28"/>
          <w:szCs w:val="28"/>
        </w:rPr>
        <w:t xml:space="preserve">/ОМТО </w:t>
      </w:r>
      <w:r w:rsidR="009D6297" w:rsidRPr="00FE5057">
        <w:rPr>
          <w:sz w:val="28"/>
          <w:szCs w:val="28"/>
        </w:rPr>
        <w:t xml:space="preserve"> </w:t>
      </w:r>
      <w:r w:rsidR="00FE5057" w:rsidRPr="00FE5057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9D6297">
        <w:rPr>
          <w:b/>
          <w:sz w:val="28"/>
          <w:szCs w:val="28"/>
        </w:rPr>
        <w:t>ТМЦ</w:t>
      </w:r>
      <w:r w:rsidR="00FE5057" w:rsidRPr="00FE5057">
        <w:rPr>
          <w:color w:val="000000"/>
          <w:sz w:val="28"/>
          <w:szCs w:val="28"/>
        </w:rPr>
        <w:t xml:space="preserve"> </w:t>
      </w:r>
      <w:r w:rsidR="00FE5057" w:rsidRPr="00FE5057">
        <w:rPr>
          <w:sz w:val="28"/>
          <w:szCs w:val="28"/>
        </w:rPr>
        <w:t>(далее – Товар) для нужд Воронежского ВРЗ - филиал</w:t>
      </w:r>
      <w:r w:rsidR="00E32090">
        <w:rPr>
          <w:sz w:val="28"/>
          <w:szCs w:val="28"/>
        </w:rPr>
        <w:t>а</w:t>
      </w:r>
      <w:r w:rsidR="00FE5057" w:rsidRPr="00FE5057">
        <w:rPr>
          <w:sz w:val="28"/>
          <w:szCs w:val="28"/>
        </w:rPr>
        <w:t xml:space="preserve"> АО «ВРМ» </w:t>
      </w:r>
      <w:r w:rsidR="00FE5057" w:rsidRPr="00FE5057">
        <w:rPr>
          <w:color w:val="212121"/>
          <w:sz w:val="28"/>
          <w:szCs w:val="28"/>
          <w:shd w:val="clear" w:color="auto" w:fill="FFFFFF"/>
        </w:rPr>
        <w:t xml:space="preserve">в 2021г. </w:t>
      </w:r>
      <w:r w:rsidR="000477DD" w:rsidRPr="00FE5057">
        <w:rPr>
          <w:sz w:val="28"/>
          <w:szCs w:val="28"/>
        </w:rPr>
        <w:t>принимает Конкурсная комиссия</w:t>
      </w:r>
      <w:r w:rsidR="000477DD">
        <w:rPr>
          <w:sz w:val="28"/>
          <w:szCs w:val="28"/>
        </w:rPr>
        <w:t xml:space="preserve"> </w:t>
      </w:r>
      <w:r w:rsidR="000477DD">
        <w:rPr>
          <w:sz w:val="28"/>
          <w:szCs w:val="28"/>
        </w:rPr>
        <w:t xml:space="preserve">Воронежского </w:t>
      </w:r>
      <w:bookmarkStart w:id="0" w:name="_GoBack"/>
      <w:bookmarkEnd w:id="0"/>
      <w:r w:rsidR="000477DD">
        <w:rPr>
          <w:sz w:val="28"/>
          <w:szCs w:val="28"/>
        </w:rPr>
        <w:t>ВРЗ</w:t>
      </w:r>
      <w:r w:rsidR="000477DD" w:rsidRPr="00FE5057">
        <w:rPr>
          <w:sz w:val="28"/>
          <w:szCs w:val="28"/>
        </w:rPr>
        <w:t xml:space="preserve"> АО «ВРМ».</w:t>
      </w:r>
    </w:p>
    <w:p w:rsidR="00861C2D" w:rsidRPr="00FE5057" w:rsidRDefault="00861C2D" w:rsidP="00FE5057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5D" w:rsidRDefault="004A3B5D">
      <w:r>
        <w:separator/>
      </w:r>
    </w:p>
  </w:endnote>
  <w:endnote w:type="continuationSeparator" w:id="0">
    <w:p w:rsidR="004A3B5D" w:rsidRDefault="004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77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7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5D" w:rsidRDefault="004A3B5D">
      <w:r>
        <w:separator/>
      </w:r>
    </w:p>
  </w:footnote>
  <w:footnote w:type="continuationSeparator" w:id="0">
    <w:p w:rsidR="004A3B5D" w:rsidRDefault="004A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77DD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927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66C86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B5D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37FCB"/>
    <w:rsid w:val="00740043"/>
    <w:rsid w:val="0074023F"/>
    <w:rsid w:val="00744690"/>
    <w:rsid w:val="00751BDE"/>
    <w:rsid w:val="0075542F"/>
    <w:rsid w:val="0075685B"/>
    <w:rsid w:val="00762209"/>
    <w:rsid w:val="007648C9"/>
    <w:rsid w:val="00765FA3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0764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6297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086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D6CAF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495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090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751C-3D76-4741-80EE-FACBB987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5910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Акатова Валерия Владимировна</cp:lastModifiedBy>
  <cp:revision>2</cp:revision>
  <cp:lastPrinted>2018-05-14T13:12:00Z</cp:lastPrinted>
  <dcterms:created xsi:type="dcterms:W3CDTF">2020-11-20T11:02:00Z</dcterms:created>
  <dcterms:modified xsi:type="dcterms:W3CDTF">2020-11-20T11:02:00Z</dcterms:modified>
</cp:coreProperties>
</file>