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863E32" w:rsidP="00AB7F8D">
      <w:pPr>
        <w:ind w:left="4395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УТВЕРЖДАЮ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Pr="00F1756A" w:rsidRDefault="003C63A9" w:rsidP="009C55FB">
      <w:pPr>
        <w:ind w:left="4395" w:right="65"/>
        <w:rPr>
          <w:b/>
          <w:bCs/>
          <w:sz w:val="28"/>
          <w:szCs w:val="28"/>
        </w:rPr>
      </w:pPr>
      <w:r w:rsidRPr="003C63A9">
        <w:rPr>
          <w:bCs/>
          <w:sz w:val="28"/>
          <w:szCs w:val="28"/>
        </w:rPr>
        <w:t xml:space="preserve"> </w:t>
      </w:r>
      <w:r w:rsidRPr="00F1756A">
        <w:rPr>
          <w:b/>
          <w:bCs/>
          <w:sz w:val="28"/>
          <w:szCs w:val="28"/>
        </w:rPr>
        <w:t>________________ Д. В. Шлыков</w:t>
      </w:r>
    </w:p>
    <w:p w:rsidR="009C55FB" w:rsidRPr="00F1756A" w:rsidRDefault="009C55FB" w:rsidP="009C55FB">
      <w:pPr>
        <w:ind w:left="4395"/>
        <w:rPr>
          <w:rFonts w:eastAsia="Arial Unicode MS"/>
          <w:b/>
        </w:rPr>
      </w:pPr>
    </w:p>
    <w:p w:rsidR="009C55FB" w:rsidRPr="00F1756A" w:rsidRDefault="009C55FB" w:rsidP="009C55FB">
      <w:pPr>
        <w:ind w:left="4395"/>
        <w:rPr>
          <w:b/>
          <w:bCs/>
          <w:sz w:val="28"/>
        </w:rPr>
      </w:pPr>
      <w:r w:rsidRPr="00F1756A">
        <w:rPr>
          <w:b/>
          <w:bCs/>
          <w:sz w:val="28"/>
        </w:rPr>
        <w:t xml:space="preserve">«___» ____________________ </w:t>
      </w:r>
      <w:r w:rsidR="003C63A9" w:rsidRPr="00F1756A">
        <w:rPr>
          <w:b/>
          <w:bCs/>
          <w:sz w:val="28"/>
        </w:rPr>
        <w:t>2020</w:t>
      </w:r>
      <w:r w:rsidRPr="00F1756A">
        <w:rPr>
          <w:b/>
          <w:bCs/>
          <w:sz w:val="28"/>
        </w:rPr>
        <w:t>г.</w:t>
      </w:r>
    </w:p>
    <w:p w:rsidR="00AB7F8D" w:rsidRPr="003C63A9" w:rsidRDefault="00AB7F8D" w:rsidP="00AB7F8D">
      <w:pPr>
        <w:ind w:left="4395"/>
        <w:rPr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3854EF" w:rsidRDefault="00B007F8" w:rsidP="006B6EFE">
      <w:pPr>
        <w:ind w:firstLine="567"/>
        <w:jc w:val="both"/>
        <w:rPr>
          <w:b/>
          <w:sz w:val="28"/>
          <w:szCs w:val="28"/>
        </w:rPr>
      </w:pPr>
      <w:r w:rsidRPr="00832A55">
        <w:rPr>
          <w:b/>
          <w:sz w:val="28"/>
          <w:szCs w:val="28"/>
        </w:rPr>
        <w:t>Методика оценки</w:t>
      </w:r>
      <w:r w:rsidR="00B416AA" w:rsidRPr="00832A55">
        <w:rPr>
          <w:b/>
          <w:sz w:val="28"/>
          <w:szCs w:val="28"/>
        </w:rPr>
        <w:t xml:space="preserve"> </w:t>
      </w:r>
      <w:r w:rsidR="00772096" w:rsidRPr="00832A55">
        <w:rPr>
          <w:b/>
          <w:sz w:val="28"/>
          <w:szCs w:val="28"/>
        </w:rPr>
        <w:t>конкурсных заявок</w:t>
      </w:r>
      <w:r w:rsidRPr="00832A55">
        <w:rPr>
          <w:b/>
          <w:sz w:val="28"/>
          <w:szCs w:val="28"/>
        </w:rPr>
        <w:t xml:space="preserve"> </w:t>
      </w:r>
      <w:r w:rsidR="0051749B" w:rsidRPr="00832A55">
        <w:rPr>
          <w:b/>
          <w:sz w:val="28"/>
          <w:szCs w:val="28"/>
        </w:rPr>
        <w:t xml:space="preserve">участников </w:t>
      </w:r>
      <w:r w:rsidR="00927E72" w:rsidRPr="00832A55">
        <w:rPr>
          <w:b/>
          <w:sz w:val="28"/>
          <w:szCs w:val="28"/>
        </w:rPr>
        <w:t xml:space="preserve">открытого конкурса </w:t>
      </w:r>
      <w:r w:rsidR="00D1118F">
        <w:rPr>
          <w:b/>
          <w:sz w:val="28"/>
          <w:szCs w:val="28"/>
        </w:rPr>
        <w:t>№</w:t>
      </w:r>
      <w:r w:rsidR="006E341A" w:rsidRPr="006E341A">
        <w:rPr>
          <w:b/>
          <w:sz w:val="28"/>
          <w:szCs w:val="28"/>
        </w:rPr>
        <w:t>0</w:t>
      </w:r>
      <w:r w:rsidR="003C63A9">
        <w:rPr>
          <w:b/>
          <w:sz w:val="28"/>
          <w:szCs w:val="28"/>
        </w:rPr>
        <w:t>47</w:t>
      </w:r>
      <w:r w:rsidR="009F743C" w:rsidRPr="006E341A">
        <w:rPr>
          <w:b/>
          <w:sz w:val="28"/>
          <w:szCs w:val="28"/>
        </w:rPr>
        <w:t>/</w:t>
      </w:r>
      <w:r w:rsidR="00832A55" w:rsidRPr="006E341A">
        <w:rPr>
          <w:b/>
          <w:sz w:val="28"/>
          <w:szCs w:val="28"/>
        </w:rPr>
        <w:t>Т</w:t>
      </w:r>
      <w:r w:rsidR="009F743C" w:rsidRPr="006E341A">
        <w:rPr>
          <w:b/>
          <w:sz w:val="28"/>
          <w:szCs w:val="28"/>
        </w:rPr>
        <w:t>ВР</w:t>
      </w:r>
      <w:r w:rsidR="007965D9" w:rsidRPr="006E341A">
        <w:rPr>
          <w:b/>
          <w:sz w:val="28"/>
          <w:szCs w:val="28"/>
        </w:rPr>
        <w:t>З</w:t>
      </w:r>
      <w:r w:rsidR="009F743C" w:rsidRPr="006E341A">
        <w:rPr>
          <w:b/>
          <w:sz w:val="28"/>
          <w:szCs w:val="28"/>
        </w:rPr>
        <w:t>/20</w:t>
      </w:r>
      <w:r w:rsidR="003C63A9">
        <w:rPr>
          <w:b/>
          <w:sz w:val="28"/>
          <w:szCs w:val="28"/>
        </w:rPr>
        <w:t>20</w:t>
      </w:r>
      <w:r w:rsidR="003854EF">
        <w:rPr>
          <w:b/>
        </w:rPr>
        <w:t xml:space="preserve"> </w:t>
      </w:r>
      <w:r w:rsidR="007965D9" w:rsidRPr="007965D9">
        <w:rPr>
          <w:b/>
          <w:sz w:val="28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 (далее Договор) в </w:t>
      </w:r>
      <w:r w:rsidR="00604C7F">
        <w:rPr>
          <w:b/>
          <w:sz w:val="28"/>
          <w:szCs w:val="28"/>
        </w:rPr>
        <w:t>20</w:t>
      </w:r>
      <w:r w:rsidR="003C63A9">
        <w:rPr>
          <w:b/>
          <w:sz w:val="28"/>
          <w:szCs w:val="28"/>
        </w:rPr>
        <w:t>21</w:t>
      </w:r>
      <w:r w:rsidR="00604C7F">
        <w:rPr>
          <w:b/>
          <w:sz w:val="28"/>
          <w:szCs w:val="28"/>
        </w:rPr>
        <w:t xml:space="preserve"> г</w:t>
      </w:r>
      <w:r w:rsidR="009C5E66">
        <w:rPr>
          <w:b/>
          <w:sz w:val="28"/>
          <w:szCs w:val="28"/>
        </w:rPr>
        <w:t>оду</w:t>
      </w:r>
      <w:r w:rsidR="00604C7F">
        <w:rPr>
          <w:b/>
          <w:sz w:val="28"/>
          <w:szCs w:val="28"/>
        </w:rPr>
        <w:t>.</w:t>
      </w:r>
    </w:p>
    <w:p w:rsidR="003854EF" w:rsidRDefault="003854EF" w:rsidP="00832A55">
      <w:pPr>
        <w:pStyle w:val="12"/>
        <w:ind w:firstLine="567"/>
        <w:rPr>
          <w:b/>
          <w:szCs w:val="28"/>
        </w:rPr>
      </w:pPr>
    </w:p>
    <w:p w:rsidR="00B007F8" w:rsidRPr="00F51A1A" w:rsidRDefault="00B007F8" w:rsidP="006B6EFE">
      <w:pPr>
        <w:pStyle w:val="12"/>
        <w:numPr>
          <w:ilvl w:val="0"/>
          <w:numId w:val="4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7965D9" w:rsidRPr="006B6EFE" w:rsidRDefault="00645E7E" w:rsidP="006B6EFE">
      <w:pPr>
        <w:pStyle w:val="ac"/>
        <w:numPr>
          <w:ilvl w:val="1"/>
          <w:numId w:val="4"/>
        </w:numPr>
        <w:jc w:val="both"/>
        <w:rPr>
          <w:rFonts w:ascii="Times New Roman" w:hAnsi="Times New Roman" w:cs="Times New Roman"/>
          <w:szCs w:val="28"/>
        </w:rPr>
      </w:pPr>
      <w:r w:rsidRPr="006B6EFE">
        <w:rPr>
          <w:sz w:val="28"/>
          <w:szCs w:val="28"/>
        </w:rPr>
        <w:t xml:space="preserve"> </w:t>
      </w:r>
      <w:r w:rsidR="00FD5F3F" w:rsidRPr="006B6EFE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65788" w:rsidRPr="006B6EFE">
        <w:rPr>
          <w:rFonts w:ascii="Times New Roman" w:hAnsi="Times New Roman" w:cs="Times New Roman"/>
          <w:sz w:val="28"/>
          <w:szCs w:val="28"/>
        </w:rPr>
        <w:t xml:space="preserve">методика разработана для оценки </w:t>
      </w:r>
      <w:r w:rsidR="00FD5F3F" w:rsidRPr="006B6EFE">
        <w:rPr>
          <w:rFonts w:ascii="Times New Roman" w:hAnsi="Times New Roman" w:cs="Times New Roman"/>
          <w:sz w:val="28"/>
          <w:szCs w:val="28"/>
        </w:rPr>
        <w:t xml:space="preserve">заявок, </w:t>
      </w:r>
      <w:r w:rsidR="003727D8" w:rsidRPr="006B6EFE">
        <w:rPr>
          <w:rFonts w:ascii="Times New Roman" w:hAnsi="Times New Roman" w:cs="Times New Roman"/>
          <w:sz w:val="28"/>
          <w:szCs w:val="28"/>
        </w:rPr>
        <w:t>п</w:t>
      </w:r>
      <w:r w:rsidR="00565788" w:rsidRPr="006B6EFE">
        <w:rPr>
          <w:rFonts w:ascii="Times New Roman" w:hAnsi="Times New Roman" w:cs="Times New Roman"/>
          <w:sz w:val="28"/>
          <w:szCs w:val="28"/>
        </w:rPr>
        <w:t xml:space="preserve">редставленных для участия в </w:t>
      </w:r>
      <w:r w:rsidR="00FD5F3F" w:rsidRPr="006B6EFE">
        <w:rPr>
          <w:rFonts w:ascii="Times New Roman" w:hAnsi="Times New Roman" w:cs="Times New Roman"/>
          <w:sz w:val="28"/>
          <w:szCs w:val="28"/>
        </w:rPr>
        <w:t>открыт</w:t>
      </w:r>
      <w:r w:rsidR="00565788" w:rsidRPr="006B6EFE">
        <w:rPr>
          <w:rFonts w:ascii="Times New Roman" w:hAnsi="Times New Roman" w:cs="Times New Roman"/>
          <w:sz w:val="28"/>
          <w:szCs w:val="28"/>
        </w:rPr>
        <w:t>ом</w:t>
      </w:r>
      <w:r w:rsidR="00FD5F3F" w:rsidRPr="006B6EFE">
        <w:rPr>
          <w:rFonts w:ascii="Times New Roman" w:hAnsi="Times New Roman" w:cs="Times New Roman"/>
          <w:sz w:val="28"/>
          <w:szCs w:val="28"/>
        </w:rPr>
        <w:t xml:space="preserve"> </w:t>
      </w:r>
      <w:r w:rsidR="00D1118F">
        <w:rPr>
          <w:rFonts w:ascii="Times New Roman" w:hAnsi="Times New Roman" w:cs="Times New Roman"/>
          <w:sz w:val="28"/>
          <w:szCs w:val="28"/>
        </w:rPr>
        <w:t>№</w:t>
      </w:r>
      <w:r w:rsidR="003854EF" w:rsidRPr="006E341A">
        <w:rPr>
          <w:rFonts w:ascii="Times New Roman" w:hAnsi="Times New Roman" w:cs="Times New Roman"/>
          <w:sz w:val="28"/>
          <w:szCs w:val="28"/>
        </w:rPr>
        <w:t>0</w:t>
      </w:r>
      <w:r w:rsidR="003C63A9">
        <w:rPr>
          <w:rFonts w:ascii="Times New Roman" w:hAnsi="Times New Roman" w:cs="Times New Roman"/>
          <w:sz w:val="28"/>
          <w:szCs w:val="28"/>
        </w:rPr>
        <w:t>47</w:t>
      </w:r>
      <w:r w:rsidR="003854EF" w:rsidRPr="006E341A">
        <w:rPr>
          <w:rFonts w:ascii="Times New Roman" w:hAnsi="Times New Roman" w:cs="Times New Roman"/>
          <w:sz w:val="28"/>
          <w:szCs w:val="28"/>
        </w:rPr>
        <w:t>/ТВР</w:t>
      </w:r>
      <w:r w:rsidR="007965D9" w:rsidRPr="006E341A">
        <w:rPr>
          <w:rFonts w:ascii="Times New Roman" w:hAnsi="Times New Roman" w:cs="Times New Roman"/>
          <w:sz w:val="28"/>
          <w:szCs w:val="28"/>
        </w:rPr>
        <w:t>З</w:t>
      </w:r>
      <w:r w:rsidR="003C63A9">
        <w:rPr>
          <w:rFonts w:ascii="Times New Roman" w:hAnsi="Times New Roman" w:cs="Times New Roman"/>
          <w:sz w:val="28"/>
          <w:szCs w:val="28"/>
        </w:rPr>
        <w:t>/2020</w:t>
      </w:r>
      <w:r w:rsidR="003854EF" w:rsidRPr="006B6EFE">
        <w:rPr>
          <w:rFonts w:ascii="Times New Roman" w:hAnsi="Times New Roman" w:cs="Times New Roman"/>
          <w:sz w:val="28"/>
          <w:szCs w:val="28"/>
        </w:rPr>
        <w:t xml:space="preserve"> </w:t>
      </w:r>
      <w:r w:rsidR="003854EF" w:rsidRPr="006B6EFE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договора </w:t>
      </w:r>
      <w:r w:rsidR="007965D9" w:rsidRPr="006B6EFE">
        <w:rPr>
          <w:rFonts w:ascii="Times New Roman" w:hAnsi="Times New Roman" w:cs="Times New Roman"/>
          <w:sz w:val="28"/>
          <w:szCs w:val="28"/>
        </w:rPr>
        <w:t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</w:t>
      </w:r>
      <w:r w:rsidR="00604C7F" w:rsidRPr="006B6EFE">
        <w:rPr>
          <w:rFonts w:ascii="Times New Roman" w:hAnsi="Times New Roman" w:cs="Times New Roman"/>
          <w:sz w:val="28"/>
          <w:szCs w:val="28"/>
        </w:rPr>
        <w:t xml:space="preserve">ности (далее Договор) в </w:t>
      </w:r>
      <w:r w:rsidR="007965D9" w:rsidRPr="006B6EFE">
        <w:rPr>
          <w:rFonts w:ascii="Times New Roman" w:hAnsi="Times New Roman" w:cs="Times New Roman"/>
          <w:sz w:val="28"/>
          <w:szCs w:val="28"/>
        </w:rPr>
        <w:t>20</w:t>
      </w:r>
      <w:r w:rsidR="003C63A9">
        <w:rPr>
          <w:rFonts w:ascii="Times New Roman" w:hAnsi="Times New Roman" w:cs="Times New Roman"/>
          <w:sz w:val="28"/>
          <w:szCs w:val="28"/>
        </w:rPr>
        <w:t>21</w:t>
      </w:r>
      <w:r w:rsidR="007965D9" w:rsidRPr="006B6EFE">
        <w:rPr>
          <w:rFonts w:ascii="Times New Roman" w:hAnsi="Times New Roman" w:cs="Times New Roman"/>
          <w:sz w:val="28"/>
          <w:szCs w:val="28"/>
        </w:rPr>
        <w:t xml:space="preserve"> г</w:t>
      </w:r>
      <w:r w:rsidR="009C5E66">
        <w:rPr>
          <w:rFonts w:ascii="Times New Roman" w:hAnsi="Times New Roman" w:cs="Times New Roman"/>
          <w:sz w:val="28"/>
          <w:szCs w:val="28"/>
        </w:rPr>
        <w:t>оду</w:t>
      </w:r>
      <w:r w:rsidR="007965D9" w:rsidRPr="006B6EFE">
        <w:rPr>
          <w:rFonts w:ascii="Times New Roman" w:hAnsi="Times New Roman" w:cs="Times New Roman"/>
          <w:sz w:val="28"/>
          <w:szCs w:val="28"/>
        </w:rPr>
        <w:t>.</w:t>
      </w:r>
    </w:p>
    <w:p w:rsidR="003854EF" w:rsidRPr="007965D9" w:rsidRDefault="003854EF" w:rsidP="00645E7E">
      <w:pPr>
        <w:ind w:firstLine="709"/>
        <w:jc w:val="both"/>
        <w:rPr>
          <w:sz w:val="28"/>
          <w:szCs w:val="28"/>
        </w:rPr>
      </w:pPr>
      <w:r w:rsidRPr="007965D9">
        <w:rPr>
          <w:sz w:val="28"/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015886" w:rsidRDefault="00015886" w:rsidP="009D3D71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9D3D71" w:rsidRDefault="009D3D71" w:rsidP="009D3D71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604C7F" w:rsidRDefault="00604C7F" w:rsidP="009D3D71">
      <w:pPr>
        <w:shd w:val="clear" w:color="auto" w:fill="FFFFFF"/>
        <w:spacing w:before="120" w:after="120"/>
        <w:rPr>
          <w:b/>
          <w:sz w:val="28"/>
          <w:szCs w:val="28"/>
        </w:rPr>
      </w:pP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lastRenderedPageBreak/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A412E" w:rsidRPr="00F51A1A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3854EF" w:rsidRPr="00F51A1A" w:rsidTr="009D3D71">
        <w:trPr>
          <w:cantSplit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9D3D71">
        <w:trPr>
          <w:cantSplit/>
          <w:trHeight w:val="602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015886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54EF"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пыт участника.</w:t>
            </w:r>
          </w:p>
        </w:tc>
      </w:tr>
      <w:tr w:rsidR="003854EF" w:rsidRPr="00F51A1A" w:rsidTr="001823CF">
        <w:trPr>
          <w:trHeight w:val="9088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noWrap/>
          </w:tcPr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1A412E">
              <w:rPr>
                <w:sz w:val="22"/>
                <w:szCs w:val="22"/>
              </w:rPr>
              <w:t>оказанных</w:t>
            </w:r>
            <w:r w:rsidRPr="00F51A1A">
              <w:rPr>
                <w:sz w:val="22"/>
                <w:szCs w:val="22"/>
              </w:rPr>
              <w:t xml:space="preserve"> участником </w:t>
            </w:r>
            <w:r w:rsidR="001A412E">
              <w:rPr>
                <w:sz w:val="22"/>
                <w:szCs w:val="22"/>
              </w:rPr>
              <w:t>Услуг</w:t>
            </w:r>
            <w:r w:rsidRPr="00F51A1A">
              <w:rPr>
                <w:sz w:val="22"/>
                <w:szCs w:val="22"/>
              </w:rPr>
              <w:t xml:space="preserve"> </w:t>
            </w:r>
            <w:r w:rsidRPr="001A412E">
              <w:rPr>
                <w:sz w:val="22"/>
                <w:szCs w:val="22"/>
              </w:rPr>
              <w:t xml:space="preserve">за </w:t>
            </w:r>
            <w:r w:rsidR="001A412E" w:rsidRPr="001A412E">
              <w:rPr>
                <w:sz w:val="22"/>
                <w:szCs w:val="22"/>
              </w:rPr>
              <w:t>201</w:t>
            </w:r>
            <w:r w:rsidR="003C63A9">
              <w:rPr>
                <w:sz w:val="22"/>
                <w:szCs w:val="22"/>
              </w:rPr>
              <w:t>9</w:t>
            </w:r>
            <w:r w:rsidR="00AC1217">
              <w:rPr>
                <w:sz w:val="22"/>
                <w:szCs w:val="22"/>
              </w:rPr>
              <w:t xml:space="preserve"> </w:t>
            </w:r>
            <w:r w:rsidR="001A412E" w:rsidRPr="001A412E">
              <w:rPr>
                <w:sz w:val="22"/>
                <w:szCs w:val="22"/>
              </w:rPr>
              <w:t>г.</w:t>
            </w:r>
            <w:r w:rsidRPr="001A412E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участник в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3C63A9">
              <w:rPr>
                <w:bCs/>
                <w:sz w:val="21"/>
                <w:szCs w:val="21"/>
              </w:rPr>
              <w:t>9</w:t>
            </w:r>
            <w:r w:rsidR="001A412E">
              <w:rPr>
                <w:bCs/>
                <w:sz w:val="21"/>
                <w:szCs w:val="21"/>
              </w:rPr>
              <w:t xml:space="preserve"> году</w:t>
            </w:r>
            <w:r w:rsidRPr="00F51A1A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в </w:t>
            </w:r>
            <w:r w:rsidR="001A412E" w:rsidRPr="001A412E">
              <w:rPr>
                <w:bCs/>
                <w:sz w:val="21"/>
                <w:szCs w:val="21"/>
              </w:rPr>
              <w:t>201</w:t>
            </w:r>
            <w:r w:rsidR="003C63A9">
              <w:rPr>
                <w:bCs/>
                <w:sz w:val="21"/>
                <w:szCs w:val="21"/>
              </w:rPr>
              <w:t>9</w:t>
            </w:r>
            <w:r w:rsidRPr="001A412E">
              <w:rPr>
                <w:bCs/>
                <w:sz w:val="21"/>
                <w:szCs w:val="21"/>
              </w:rPr>
              <w:t xml:space="preserve"> год</w:t>
            </w:r>
            <w:r w:rsidR="001A412E" w:rsidRPr="001A412E">
              <w:rPr>
                <w:bCs/>
                <w:sz w:val="21"/>
                <w:szCs w:val="21"/>
              </w:rPr>
              <w:t>у</w:t>
            </w:r>
            <w:r w:rsidRPr="001A412E">
              <w:rPr>
                <w:bCs/>
                <w:sz w:val="21"/>
                <w:szCs w:val="21"/>
              </w:rPr>
              <w:t>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3C63A9">
              <w:rPr>
                <w:bCs/>
                <w:sz w:val="21"/>
                <w:szCs w:val="21"/>
              </w:rPr>
              <w:t>9</w:t>
            </w:r>
            <w:r w:rsidR="00AC1217">
              <w:rPr>
                <w:bCs/>
                <w:sz w:val="21"/>
                <w:szCs w:val="21"/>
              </w:rPr>
              <w:t xml:space="preserve"> </w:t>
            </w:r>
            <w:r w:rsidR="001A412E"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, равна или больше среднегодовой начальной (максимальной) стоимости размещаемого заказа, участнику присваивается 2</w:t>
            </w:r>
            <w:r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среднегодовая стоимость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участником, по предмету конкурса, за </w:t>
            </w:r>
            <w:r w:rsidR="001A412E" w:rsidRPr="001A412E">
              <w:rPr>
                <w:bCs/>
                <w:sz w:val="21"/>
                <w:szCs w:val="21"/>
              </w:rPr>
              <w:t>201</w:t>
            </w:r>
            <w:r w:rsidR="003C63A9">
              <w:rPr>
                <w:bCs/>
                <w:sz w:val="21"/>
                <w:szCs w:val="21"/>
              </w:rPr>
              <w:t>9</w:t>
            </w:r>
            <w:r w:rsidR="00AC1217">
              <w:rPr>
                <w:bCs/>
                <w:sz w:val="21"/>
                <w:szCs w:val="21"/>
              </w:rPr>
              <w:t xml:space="preserve"> </w:t>
            </w:r>
            <w:r w:rsidRPr="001A412E">
              <w:rPr>
                <w:bCs/>
                <w:sz w:val="21"/>
                <w:szCs w:val="21"/>
              </w:rPr>
              <w:t>г.,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1A412E">
              <w:rPr>
                <w:bCs/>
                <w:sz w:val="21"/>
                <w:szCs w:val="21"/>
              </w:rPr>
              <w:t>оказанных Услуг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3854EF" w:rsidRPr="00F51A1A" w:rsidRDefault="003854EF" w:rsidP="001823CF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3854EF" w:rsidP="001823CF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66172296" r:id="rId9"/>
              </w:object>
            </w:r>
          </w:p>
          <w:p w:rsidR="003854EF" w:rsidRPr="00F51A1A" w:rsidRDefault="003854EF" w:rsidP="001823CF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BD6501" w:rsidP="001823CF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Ц ∑ср.год. –</w:t>
            </w:r>
            <w:r w:rsidR="003854EF" w:rsidRPr="00F51A1A">
              <w:rPr>
                <w:bCs/>
                <w:sz w:val="21"/>
                <w:szCs w:val="21"/>
              </w:rPr>
              <w:t xml:space="preserve"> стоимость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>
              <w:rPr>
                <w:bCs/>
                <w:sz w:val="21"/>
                <w:szCs w:val="21"/>
              </w:rPr>
              <w:t xml:space="preserve"> в 201</w:t>
            </w:r>
            <w:r w:rsidR="003C63A9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 xml:space="preserve"> г.</w:t>
            </w:r>
            <w:r w:rsidR="001A412E">
              <w:rPr>
                <w:bCs/>
                <w:sz w:val="21"/>
                <w:szCs w:val="21"/>
              </w:rPr>
              <w:t xml:space="preserve"> Услуг</w:t>
            </w:r>
            <w:r w:rsidR="003854EF" w:rsidRPr="00F51A1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="003854EF"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3C63A9">
              <w:rPr>
                <w:bCs/>
                <w:sz w:val="21"/>
                <w:szCs w:val="21"/>
              </w:rPr>
              <w:t>9</w:t>
            </w:r>
            <w:r w:rsidR="003854EF" w:rsidRPr="00F51A1A">
              <w:rPr>
                <w:bCs/>
                <w:sz w:val="21"/>
                <w:szCs w:val="21"/>
              </w:rPr>
              <w:t xml:space="preserve"> г.;</w:t>
            </w:r>
          </w:p>
          <w:p w:rsidR="003854EF" w:rsidRPr="00F51A1A" w:rsidRDefault="003854EF" w:rsidP="001823CF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3854EF" w:rsidRPr="00F51A1A" w:rsidRDefault="003854EF" w:rsidP="001823CF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25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9D3D71">
        <w:trPr>
          <w:cantSplit/>
          <w:trHeight w:val="564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9D3D71">
        <w:trPr>
          <w:cantSplit/>
          <w:trHeight w:val="2554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noWrap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1A412E">
              <w:rPr>
                <w:bCs/>
                <w:sz w:val="21"/>
                <w:szCs w:val="21"/>
              </w:rPr>
              <w:t>оказания Услуг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>более 5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3854EF" w:rsidP="0076509C">
            <w:pPr>
              <w:jc w:val="both"/>
              <w:rPr>
                <w:sz w:val="22"/>
                <w:szCs w:val="22"/>
              </w:rPr>
            </w:pPr>
            <w:r w:rsidRPr="003854EF">
              <w:rPr>
                <w:b/>
                <w:bCs/>
                <w:sz w:val="21"/>
                <w:szCs w:val="21"/>
              </w:rPr>
              <w:t>5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9D3D71">
        <w:trPr>
          <w:cantSplit/>
          <w:trHeight w:val="511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9D3D71">
        <w:trPr>
          <w:cantSplit/>
          <w:trHeight w:val="839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66172297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pt" o:ole="">
                  <v:imagedata r:id="rId12" o:title=""/>
                </v:shape>
                <o:OLEObject Type="Embed" ProgID="Equation.3" ShapeID="_x0000_i1027" DrawAspect="Content" ObjectID="_1666172298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pt" o:ole="">
                  <v:imagedata r:id="rId14" o:title=""/>
                </v:shape>
                <o:OLEObject Type="Embed" ProgID="Equation.3" ShapeID="_x0000_i1028" DrawAspect="Content" ObjectID="_1666172299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F51A1A" w:rsidRDefault="003854EF" w:rsidP="0076509C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3854EF" w:rsidRPr="00F51A1A" w:rsidRDefault="003854EF" w:rsidP="0076509C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3854EF" w:rsidRPr="00F51A1A" w:rsidTr="009D3D71">
        <w:trPr>
          <w:cantSplit/>
        </w:trPr>
        <w:tc>
          <w:tcPr>
            <w:tcW w:w="3119" w:type="dxa"/>
            <w:gridSpan w:val="2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015886" w:rsidRDefault="00015886" w:rsidP="00457099">
      <w:pPr>
        <w:pStyle w:val="a6"/>
        <w:keepNext/>
        <w:widowControl/>
        <w:spacing w:before="120" w:after="120"/>
        <w:jc w:val="center"/>
        <w:rPr>
          <w:b/>
          <w:bCs/>
        </w:rPr>
      </w:pPr>
    </w:p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Pr="007B7F41" w:rsidRDefault="00D83D68" w:rsidP="003F5438">
      <w:pPr>
        <w:numPr>
          <w:ilvl w:val="0"/>
          <w:numId w:val="23"/>
        </w:numPr>
        <w:jc w:val="both"/>
        <w:rPr>
          <w:sz w:val="28"/>
          <w:szCs w:val="28"/>
        </w:rPr>
      </w:pPr>
      <w:r w:rsidRPr="007B7F41">
        <w:rPr>
          <w:sz w:val="28"/>
          <w:szCs w:val="28"/>
        </w:rPr>
        <w:t>Решение</w:t>
      </w:r>
      <w:r w:rsidR="00B47E89" w:rsidRPr="007B7F41">
        <w:rPr>
          <w:sz w:val="28"/>
          <w:szCs w:val="28"/>
        </w:rPr>
        <w:t xml:space="preserve"> </w:t>
      </w:r>
      <w:r w:rsidRPr="007B7F41">
        <w:rPr>
          <w:sz w:val="28"/>
          <w:szCs w:val="28"/>
        </w:rPr>
        <w:t>о</w:t>
      </w:r>
      <w:r w:rsidR="00B47E89" w:rsidRPr="007B7F41">
        <w:rPr>
          <w:sz w:val="28"/>
          <w:szCs w:val="28"/>
        </w:rPr>
        <w:t xml:space="preserve"> </w:t>
      </w:r>
      <w:r w:rsidR="00D0556E" w:rsidRPr="007B7F41">
        <w:rPr>
          <w:sz w:val="28"/>
          <w:szCs w:val="28"/>
        </w:rPr>
        <w:t>победителе</w:t>
      </w:r>
      <w:r w:rsidR="00B47E89" w:rsidRPr="007B7F41">
        <w:rPr>
          <w:sz w:val="28"/>
          <w:szCs w:val="28"/>
        </w:rPr>
        <w:t xml:space="preserve"> открытого</w:t>
      </w:r>
      <w:r w:rsidRPr="007B7F41">
        <w:rPr>
          <w:sz w:val="28"/>
          <w:szCs w:val="28"/>
        </w:rPr>
        <w:t xml:space="preserve"> конкурса</w:t>
      </w:r>
      <w:r w:rsidR="00BB2056" w:rsidRPr="007B7F41">
        <w:rPr>
          <w:sz w:val="28"/>
          <w:szCs w:val="28"/>
        </w:rPr>
        <w:t xml:space="preserve"> </w:t>
      </w:r>
      <w:r w:rsidR="00D1118F">
        <w:rPr>
          <w:sz w:val="28"/>
          <w:szCs w:val="28"/>
        </w:rPr>
        <w:t>№</w:t>
      </w:r>
      <w:r w:rsidR="006E341A" w:rsidRPr="006E341A">
        <w:rPr>
          <w:sz w:val="28"/>
          <w:szCs w:val="28"/>
        </w:rPr>
        <w:t>0</w:t>
      </w:r>
      <w:r w:rsidR="003C63A9">
        <w:rPr>
          <w:sz w:val="28"/>
          <w:szCs w:val="28"/>
        </w:rPr>
        <w:t>47</w:t>
      </w:r>
      <w:r w:rsidR="003F5438" w:rsidRPr="006E341A">
        <w:rPr>
          <w:sz w:val="28"/>
          <w:szCs w:val="28"/>
        </w:rPr>
        <w:t>/ТВР</w:t>
      </w:r>
      <w:r w:rsidR="00CC6BAB" w:rsidRPr="006E341A">
        <w:rPr>
          <w:sz w:val="28"/>
          <w:szCs w:val="28"/>
        </w:rPr>
        <w:t>З</w:t>
      </w:r>
      <w:r w:rsidR="003C63A9">
        <w:rPr>
          <w:sz w:val="28"/>
          <w:szCs w:val="28"/>
        </w:rPr>
        <w:t>/2020</w:t>
      </w:r>
      <w:r w:rsidR="003F5438" w:rsidRPr="007B7F41">
        <w:rPr>
          <w:sz w:val="28"/>
          <w:szCs w:val="28"/>
        </w:rPr>
        <w:t xml:space="preserve"> </w:t>
      </w:r>
      <w:r w:rsidR="003F5438" w:rsidRPr="007B7F41">
        <w:rPr>
          <w:color w:val="000000"/>
          <w:sz w:val="28"/>
          <w:szCs w:val="28"/>
        </w:rPr>
        <w:t xml:space="preserve">на право заключения </w:t>
      </w:r>
      <w:r w:rsidR="00CC6BAB" w:rsidRPr="007B7F41">
        <w:rPr>
          <w:color w:val="000000"/>
          <w:sz w:val="28"/>
          <w:szCs w:val="28"/>
        </w:rPr>
        <w:t xml:space="preserve">договора </w:t>
      </w:r>
      <w:r w:rsidR="00CC6BAB" w:rsidRPr="007B7F41">
        <w:rPr>
          <w:sz w:val="28"/>
          <w:szCs w:val="28"/>
        </w:rPr>
        <w:t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</w:t>
      </w:r>
      <w:r w:rsidR="006B6EFE">
        <w:rPr>
          <w:sz w:val="28"/>
          <w:szCs w:val="28"/>
        </w:rPr>
        <w:t>ой деятельности (далее Договор)</w:t>
      </w:r>
      <w:r w:rsidR="00CC6BAB" w:rsidRPr="007B7F41">
        <w:rPr>
          <w:sz w:val="28"/>
          <w:szCs w:val="28"/>
        </w:rPr>
        <w:t xml:space="preserve"> в 20</w:t>
      </w:r>
      <w:r w:rsidR="00D1118F">
        <w:rPr>
          <w:sz w:val="28"/>
          <w:szCs w:val="28"/>
        </w:rPr>
        <w:t>2</w:t>
      </w:r>
      <w:r w:rsidR="003C63A9">
        <w:rPr>
          <w:sz w:val="28"/>
          <w:szCs w:val="28"/>
        </w:rPr>
        <w:t>1</w:t>
      </w:r>
      <w:r w:rsidR="00CC6BAB" w:rsidRPr="007B7F41">
        <w:rPr>
          <w:sz w:val="28"/>
          <w:szCs w:val="28"/>
        </w:rPr>
        <w:t xml:space="preserve"> г</w:t>
      </w:r>
      <w:r w:rsidR="001823CF">
        <w:rPr>
          <w:sz w:val="28"/>
          <w:szCs w:val="28"/>
        </w:rPr>
        <w:t>оду</w:t>
      </w:r>
      <w:r w:rsidR="00CC6BAB" w:rsidRPr="007B7F41">
        <w:rPr>
          <w:sz w:val="28"/>
          <w:szCs w:val="28"/>
        </w:rPr>
        <w:t xml:space="preserve"> </w:t>
      </w:r>
      <w:r w:rsidR="00F51A1A" w:rsidRPr="007B7F41">
        <w:rPr>
          <w:sz w:val="28"/>
          <w:szCs w:val="28"/>
        </w:rPr>
        <w:t>принимает Конкурсная комиссия</w:t>
      </w:r>
      <w:r w:rsidR="003C32D3" w:rsidRPr="007B7F41">
        <w:rPr>
          <w:sz w:val="28"/>
          <w:szCs w:val="28"/>
        </w:rPr>
        <w:t xml:space="preserve"> Тамбовского ВРЗ</w:t>
      </w:r>
      <w:r w:rsidR="00F51A1A" w:rsidRPr="007B7F41">
        <w:rPr>
          <w:sz w:val="28"/>
          <w:szCs w:val="28"/>
        </w:rPr>
        <w:t xml:space="preserve"> АО «ВРМ»</w:t>
      </w:r>
      <w:r w:rsidR="004C6167" w:rsidRPr="007B7F41">
        <w:rPr>
          <w:sz w:val="28"/>
          <w:szCs w:val="28"/>
        </w:rPr>
        <w:t>.</w:t>
      </w:r>
    </w:p>
    <w:p w:rsidR="00F51A1A" w:rsidRPr="007B7F41" w:rsidRDefault="00F51A1A" w:rsidP="00067819">
      <w:pPr>
        <w:pStyle w:val="12"/>
        <w:ind w:firstLine="709"/>
        <w:rPr>
          <w:szCs w:val="28"/>
        </w:rPr>
      </w:pPr>
    </w:p>
    <w:p w:rsidR="003854EF" w:rsidRPr="007B7F41" w:rsidRDefault="003854EF" w:rsidP="003854EF">
      <w:pPr>
        <w:pStyle w:val="12"/>
        <w:ind w:firstLine="709"/>
        <w:rPr>
          <w:szCs w:val="28"/>
        </w:rPr>
      </w:pPr>
    </w:p>
    <w:p w:rsidR="003854EF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9D3D71">
      <w:headerReference w:type="even" r:id="rId16"/>
      <w:pgSz w:w="11906" w:h="16838"/>
      <w:pgMar w:top="1276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F4" w:rsidRDefault="00585BF4">
      <w:r>
        <w:separator/>
      </w:r>
    </w:p>
  </w:endnote>
  <w:endnote w:type="continuationSeparator" w:id="0">
    <w:p w:rsidR="00585BF4" w:rsidRDefault="0058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F4" w:rsidRDefault="00585BF4">
      <w:r>
        <w:separator/>
      </w:r>
    </w:p>
  </w:footnote>
  <w:footnote w:type="continuationSeparator" w:id="0">
    <w:p w:rsidR="00585BF4" w:rsidRDefault="0058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2D6D9B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82C51C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E4179"/>
    <w:rsid w:val="000F3C0D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452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23CF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17879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6D9B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2A5F"/>
    <w:rsid w:val="003A4A2D"/>
    <w:rsid w:val="003A569B"/>
    <w:rsid w:val="003A6B8E"/>
    <w:rsid w:val="003A7BDA"/>
    <w:rsid w:val="003B02B2"/>
    <w:rsid w:val="003B344D"/>
    <w:rsid w:val="003B3A92"/>
    <w:rsid w:val="003B7E9A"/>
    <w:rsid w:val="003C069F"/>
    <w:rsid w:val="003C32D3"/>
    <w:rsid w:val="003C32DD"/>
    <w:rsid w:val="003C63A9"/>
    <w:rsid w:val="003D6273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0C1C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5221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5BF4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11EE"/>
    <w:rsid w:val="005F2BF2"/>
    <w:rsid w:val="005F6065"/>
    <w:rsid w:val="005F67A2"/>
    <w:rsid w:val="005F758B"/>
    <w:rsid w:val="005F7BBC"/>
    <w:rsid w:val="00604C7F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6EFE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341A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3E2D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3E32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D6E9F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21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5E66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035F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4FF6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5917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E2DB7"/>
    <w:rsid w:val="00CE43AA"/>
    <w:rsid w:val="00CF46A4"/>
    <w:rsid w:val="00CF5260"/>
    <w:rsid w:val="00D031C5"/>
    <w:rsid w:val="00D0556E"/>
    <w:rsid w:val="00D1118F"/>
    <w:rsid w:val="00D239FA"/>
    <w:rsid w:val="00D24A65"/>
    <w:rsid w:val="00D25CBC"/>
    <w:rsid w:val="00D2754B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5560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1756A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290F"/>
    <w:rsid w:val="00F93DBB"/>
    <w:rsid w:val="00FA16FB"/>
    <w:rsid w:val="00FA18F6"/>
    <w:rsid w:val="00FA62AF"/>
    <w:rsid w:val="00FA7F48"/>
    <w:rsid w:val="00FB16B1"/>
    <w:rsid w:val="00FB2A1E"/>
    <w:rsid w:val="00FB3A63"/>
    <w:rsid w:val="00FB3D6F"/>
    <w:rsid w:val="00FB4E68"/>
    <w:rsid w:val="00FC1726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A785D-5E7B-4208-85F9-ED320DC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BBAE-AD94-44CF-886E-741BED70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3</cp:revision>
  <cp:lastPrinted>2018-06-19T12:18:00Z</cp:lastPrinted>
  <dcterms:created xsi:type="dcterms:W3CDTF">2020-11-06T09:52:00Z</dcterms:created>
  <dcterms:modified xsi:type="dcterms:W3CDTF">2020-11-06T09:52:00Z</dcterms:modified>
</cp:coreProperties>
</file>