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Look w:val="01E0"/>
      </w:tblPr>
      <w:tblGrid>
        <w:gridCol w:w="3301"/>
        <w:gridCol w:w="6189"/>
      </w:tblGrid>
      <w:tr w:rsidR="007947BE" w:rsidRPr="007947BE" w:rsidTr="007947BE">
        <w:trPr>
          <w:trHeight w:val="663"/>
        </w:trPr>
        <w:tc>
          <w:tcPr>
            <w:tcW w:w="3301" w:type="dxa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6189" w:type="dxa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7BE" w:rsidRPr="007947BE" w:rsidRDefault="007947BE" w:rsidP="0063393D">
            <w:pPr>
              <w:suppressAutoHyphens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947B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7947BE" w:rsidRPr="007947BE" w:rsidTr="007947BE">
        <w:trPr>
          <w:trHeight w:val="663"/>
        </w:trPr>
        <w:tc>
          <w:tcPr>
            <w:tcW w:w="3301" w:type="dxa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6189" w:type="dxa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7BE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  <w:p w:rsidR="007947BE" w:rsidRPr="007947BE" w:rsidRDefault="007947BE" w:rsidP="0063393D">
            <w:pPr>
              <w:suppressAutoHyphens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947BE">
              <w:rPr>
                <w:rFonts w:ascii="Times New Roman" w:hAnsi="Times New Roman" w:cs="Times New Roman"/>
                <w:sz w:val="28"/>
                <w:szCs w:val="28"/>
              </w:rPr>
              <w:t>Тамбовского ВРЗ АО «ВРМ»</w:t>
            </w:r>
          </w:p>
        </w:tc>
      </w:tr>
      <w:tr w:rsidR="007947BE" w:rsidRPr="007947BE" w:rsidTr="007947BE">
        <w:trPr>
          <w:trHeight w:val="351"/>
        </w:trPr>
        <w:tc>
          <w:tcPr>
            <w:tcW w:w="3301" w:type="dxa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6189" w:type="dxa"/>
          </w:tcPr>
          <w:p w:rsidR="007947BE" w:rsidRPr="007947BE" w:rsidRDefault="007947BE" w:rsidP="0063393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7BE" w:rsidRPr="007947BE" w:rsidTr="007947BE">
        <w:trPr>
          <w:trHeight w:val="331"/>
        </w:trPr>
        <w:tc>
          <w:tcPr>
            <w:tcW w:w="3301" w:type="dxa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6189" w:type="dxa"/>
            <w:vAlign w:val="bottom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7B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___________________Грибков</w:t>
            </w:r>
            <w:proofErr w:type="spellEnd"/>
            <w:r w:rsidRPr="00794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</w:tc>
      </w:tr>
      <w:tr w:rsidR="007947BE" w:rsidRPr="007947BE" w:rsidTr="007947BE">
        <w:trPr>
          <w:trHeight w:val="331"/>
        </w:trPr>
        <w:tc>
          <w:tcPr>
            <w:tcW w:w="3301" w:type="dxa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eastAsia="MS Mincho" w:hAnsi="Times New Roman" w:cs="Times New Roman"/>
                <w:sz w:val="28"/>
              </w:rPr>
            </w:pPr>
          </w:p>
        </w:tc>
        <w:tc>
          <w:tcPr>
            <w:tcW w:w="6189" w:type="dxa"/>
          </w:tcPr>
          <w:p w:rsidR="007947BE" w:rsidRPr="007947BE" w:rsidRDefault="007947BE" w:rsidP="0063393D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7BE">
              <w:rPr>
                <w:rFonts w:ascii="Times New Roman" w:hAnsi="Times New Roman" w:cs="Times New Roman"/>
                <w:b/>
                <w:sz w:val="28"/>
                <w:szCs w:val="28"/>
              </w:rPr>
              <w:t>«_____» ___________2019 г.</w:t>
            </w:r>
          </w:p>
        </w:tc>
      </w:tr>
    </w:tbl>
    <w:p w:rsidR="007947BE" w:rsidRPr="007947BE" w:rsidRDefault="007947BE" w:rsidP="007947BE">
      <w:pPr>
        <w:pStyle w:val="ConsNormal"/>
        <w:ind w:firstLine="90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D496A" w:rsidRDefault="006D496A" w:rsidP="006D496A">
      <w:pPr>
        <w:pStyle w:val="a3"/>
        <w:rPr>
          <w:b/>
          <w:bCs/>
          <w:kern w:val="28"/>
          <w:szCs w:val="28"/>
        </w:rPr>
      </w:pPr>
    </w:p>
    <w:p w:rsidR="006D496A" w:rsidRPr="007905AB" w:rsidRDefault="006D496A" w:rsidP="007905AB">
      <w:pPr>
        <w:pStyle w:val="1"/>
        <w:spacing w:line="276" w:lineRule="auto"/>
        <w:ind w:firstLine="0"/>
        <w:rPr>
          <w:b/>
        </w:rPr>
      </w:pPr>
      <w:r w:rsidRPr="007905AB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A503A6">
        <w:rPr>
          <w:b/>
          <w:szCs w:val="28"/>
          <w:u w:val="single"/>
        </w:rPr>
        <w:t>049/ТВРЗ/2019</w:t>
      </w:r>
      <w:r w:rsidRPr="007905AB">
        <w:rPr>
          <w:b/>
          <w:szCs w:val="28"/>
          <w:u w:val="single"/>
        </w:rPr>
        <w:t xml:space="preserve"> </w:t>
      </w:r>
      <w:r w:rsidR="007905AB" w:rsidRPr="007905AB">
        <w:rPr>
          <w:b/>
        </w:rPr>
        <w:t xml:space="preserve">на право заключения </w:t>
      </w:r>
      <w:proofErr w:type="gramStart"/>
      <w:r w:rsidR="007905AB" w:rsidRPr="007905AB">
        <w:rPr>
          <w:b/>
        </w:rPr>
        <w:t>договора</w:t>
      </w:r>
      <w:proofErr w:type="gramEnd"/>
      <w:r w:rsidR="007905AB" w:rsidRPr="007905AB">
        <w:rPr>
          <w:b/>
        </w:rPr>
        <w:t xml:space="preserve"> на оказание транспортных услуг по доставке автомобильным транспортом колесных пар железнодорожного подвижного состава в 2019 г.</w:t>
      </w:r>
    </w:p>
    <w:p w:rsidR="006D496A" w:rsidRDefault="006D496A" w:rsidP="006D496A">
      <w:pPr>
        <w:pStyle w:val="4"/>
        <w:spacing w:before="120" w:after="120"/>
        <w:ind w:firstLine="709"/>
        <w:jc w:val="center"/>
      </w:pPr>
      <w:r>
        <w:t>1. Общие положения</w:t>
      </w:r>
    </w:p>
    <w:p w:rsidR="006D496A" w:rsidRDefault="006D496A" w:rsidP="006D496A">
      <w:pPr>
        <w:pStyle w:val="1"/>
        <w:ind w:firstLine="0"/>
        <w:rPr>
          <w:szCs w:val="28"/>
        </w:rPr>
      </w:pPr>
      <w:r>
        <w:t xml:space="preserve"> </w:t>
      </w:r>
      <w:r w:rsidRPr="00DD2BDF">
        <w:t xml:space="preserve">Настоящая методика разработана для оценки конкурсных заявок, представленных для участия в открытом конкурсе </w:t>
      </w:r>
      <w:r w:rsidR="00A503A6">
        <w:t xml:space="preserve">№ </w:t>
      </w:r>
      <w:r w:rsidR="00A503A6">
        <w:rPr>
          <w:szCs w:val="28"/>
        </w:rPr>
        <w:t>049/ТВРЗ/2019</w:t>
      </w:r>
      <w:r w:rsidRPr="00DD2BDF">
        <w:rPr>
          <w:szCs w:val="28"/>
        </w:rPr>
        <w:t xml:space="preserve"> на право заключения </w:t>
      </w:r>
      <w:proofErr w:type="gramStart"/>
      <w:r w:rsidRPr="00DD2BDF">
        <w:rPr>
          <w:szCs w:val="28"/>
        </w:rPr>
        <w:t>договора</w:t>
      </w:r>
      <w:proofErr w:type="gramEnd"/>
      <w:r w:rsidRPr="00DD2BDF">
        <w:rPr>
          <w:szCs w:val="28"/>
        </w:rPr>
        <w:t xml:space="preserve"> </w:t>
      </w:r>
      <w:r w:rsidR="007947BE" w:rsidRPr="00DD2BDF">
        <w:t xml:space="preserve">на оказание транспортных услуг по доставке автомобильным транспортом колесных пар железнодорожного подвижного состава </w:t>
      </w:r>
      <w:r w:rsidRPr="00DD2BDF">
        <w:rPr>
          <w:szCs w:val="28"/>
        </w:rPr>
        <w:t>(далее автотранспортные услуги) в 2019 г.</w:t>
      </w:r>
    </w:p>
    <w:p w:rsidR="006D496A" w:rsidRDefault="006D496A" w:rsidP="006D496A">
      <w:pPr>
        <w:pStyle w:val="a3"/>
        <w:ind w:firstLine="567"/>
        <w:rPr>
          <w:szCs w:val="28"/>
        </w:rPr>
      </w:pPr>
      <w:r>
        <w:rPr>
          <w:szCs w:val="28"/>
        </w:rPr>
        <w:t xml:space="preserve"> После получения и вскрытия </w:t>
      </w:r>
      <w:r>
        <w:t xml:space="preserve">конкурсных </w:t>
      </w:r>
      <w:r>
        <w:rPr>
          <w:szCs w:val="28"/>
        </w:rPr>
        <w:t>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</w:t>
      </w:r>
    </w:p>
    <w:p w:rsidR="006D496A" w:rsidRDefault="006D496A" w:rsidP="006D496A">
      <w:pPr>
        <w:pStyle w:val="a5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Заявки претендентов, </w:t>
      </w:r>
      <w:r>
        <w:rPr>
          <w:rFonts w:eastAsia="MS Mincho"/>
          <w:b w:val="0"/>
          <w:u w:val="none"/>
        </w:rPr>
        <w:t xml:space="preserve">полностью отвечающие обязательным </w:t>
      </w:r>
      <w:r>
        <w:rPr>
          <w:b w:val="0"/>
          <w:u w:val="none"/>
        </w:rPr>
        <w:t>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задания, и оценки заявок участников открытого конкурса.</w:t>
      </w:r>
    </w:p>
    <w:p w:rsidR="006D496A" w:rsidRDefault="006D496A" w:rsidP="006D496A">
      <w:pPr>
        <w:pStyle w:val="a3"/>
        <w:ind w:firstLine="567"/>
        <w:rPr>
          <w:szCs w:val="28"/>
        </w:rPr>
      </w:pPr>
      <w:r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6D496A" w:rsidRDefault="006D496A" w:rsidP="006D496A">
      <w:pPr>
        <w:pStyle w:val="a3"/>
        <w:ind w:firstLine="567"/>
        <w:rPr>
          <w:sz w:val="16"/>
          <w:szCs w:val="16"/>
        </w:rPr>
      </w:pPr>
      <w:r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6D496A" w:rsidRDefault="006D496A" w:rsidP="006D496A">
      <w:pPr>
        <w:pStyle w:val="a7"/>
        <w:tabs>
          <w:tab w:val="left" w:pos="0"/>
        </w:tabs>
        <w:spacing w:before="120"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работы экспертной группы при оценке заявок</w:t>
      </w:r>
    </w:p>
    <w:p w:rsidR="006D496A" w:rsidRDefault="006D496A" w:rsidP="006D496A">
      <w:pPr>
        <w:pStyle w:val="2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</w:t>
      </w:r>
      <w:r>
        <w:rPr>
          <w:color w:val="000000"/>
          <w:szCs w:val="28"/>
        </w:rPr>
        <w:t xml:space="preserve">тветственный представитель заказчика </w:t>
      </w:r>
      <w:r>
        <w:t>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6D496A" w:rsidRDefault="00A503A6" w:rsidP="00A503A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</w:rPr>
        <w:t xml:space="preserve">         </w:t>
      </w:r>
      <w:r w:rsidR="006D496A">
        <w:rPr>
          <w:rFonts w:ascii="Times New Roman" w:hAnsi="Times New Roman" w:cs="Times New Roman"/>
        </w:rPr>
        <w:t xml:space="preserve">  </w:t>
      </w:r>
      <w:r w:rsidR="006D496A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</w:t>
      </w:r>
      <w:r w:rsidR="006D496A">
        <w:rPr>
          <w:rFonts w:ascii="Times New Roman" w:hAnsi="Times New Roman" w:cs="Times New Roman"/>
          <w:sz w:val="28"/>
          <w:szCs w:val="22"/>
        </w:rPr>
        <w:lastRenderedPageBreak/>
        <w:t xml:space="preserve">составе заявки, должно соответствовать требованиям, указанным в документации. </w:t>
      </w:r>
    </w:p>
    <w:p w:rsidR="006D496A" w:rsidRDefault="006D496A" w:rsidP="006D496A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6D496A" w:rsidRDefault="006D496A" w:rsidP="006D496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96A" w:rsidRDefault="006D496A" w:rsidP="006D496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6D496A" w:rsidRDefault="006D496A" w:rsidP="006D496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6D496A" w:rsidRDefault="006D496A" w:rsidP="006D496A">
      <w:pPr>
        <w:pStyle w:val="2"/>
        <w:spacing w:line="320" w:lineRule="exact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D496A" w:rsidRDefault="006D496A" w:rsidP="006D496A">
      <w:pPr>
        <w:pStyle w:val="2"/>
        <w:spacing w:line="320" w:lineRule="exact"/>
        <w:ind w:firstLine="567"/>
        <w:rPr>
          <w:bCs/>
          <w:color w:val="000000"/>
          <w:szCs w:val="28"/>
        </w:rPr>
      </w:pPr>
    </w:p>
    <w:p w:rsidR="006D496A" w:rsidRDefault="006D496A" w:rsidP="006D496A">
      <w:pPr>
        <w:pStyle w:val="2"/>
        <w:spacing w:line="320" w:lineRule="exact"/>
        <w:ind w:firstLine="567"/>
        <w:jc w:val="right"/>
        <w:rPr>
          <w:b/>
          <w:szCs w:val="28"/>
        </w:rPr>
      </w:pPr>
      <w:r>
        <w:rPr>
          <w:b/>
          <w:szCs w:val="28"/>
        </w:rPr>
        <w:t>Таблица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1843"/>
        <w:gridCol w:w="5245"/>
      </w:tblGrid>
      <w:tr w:rsidR="006D496A" w:rsidTr="00103B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Pr="00D20931" w:rsidRDefault="006D496A" w:rsidP="00D20931">
            <w:pPr>
              <w:pStyle w:val="a3"/>
              <w:tabs>
                <w:tab w:val="left" w:pos="1418"/>
              </w:tabs>
              <w:suppressAutoHyphens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20931">
              <w:rPr>
                <w:b/>
                <w:sz w:val="24"/>
                <w:szCs w:val="24"/>
              </w:rPr>
              <w:t xml:space="preserve">№ </w:t>
            </w:r>
            <w:r w:rsidR="00D20931" w:rsidRPr="00D2093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Pr="00D20931" w:rsidRDefault="006D496A" w:rsidP="00743A87">
            <w:pPr>
              <w:pStyle w:val="a3"/>
              <w:tabs>
                <w:tab w:val="left" w:pos="1418"/>
              </w:tabs>
              <w:suppressAutoHyphens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2093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Pr="00D20931" w:rsidRDefault="00D20931" w:rsidP="00D20931">
            <w:pPr>
              <w:pStyle w:val="a3"/>
              <w:tabs>
                <w:tab w:val="left" w:pos="1418"/>
              </w:tabs>
              <w:suppressAutoHyphens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20931">
              <w:rPr>
                <w:b/>
                <w:sz w:val="24"/>
                <w:szCs w:val="24"/>
              </w:rPr>
              <w:t xml:space="preserve">Макс. кол-во баллов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Pr="00D20931" w:rsidRDefault="006D496A">
            <w:pPr>
              <w:pStyle w:val="a3"/>
              <w:tabs>
                <w:tab w:val="left" w:pos="1418"/>
              </w:tabs>
              <w:suppressAutoHyphens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20931">
              <w:rPr>
                <w:b/>
                <w:sz w:val="24"/>
                <w:szCs w:val="24"/>
              </w:rPr>
              <w:t>Порядок оценки по критерию</w:t>
            </w:r>
          </w:p>
        </w:tc>
      </w:tr>
      <w:tr w:rsidR="005A30C2" w:rsidTr="0082576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0C2" w:rsidRDefault="005A30C2" w:rsidP="00103B2F">
            <w:pPr>
              <w:pStyle w:val="a3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</w:p>
          <w:p w:rsidR="005A30C2" w:rsidRDefault="005A30C2" w:rsidP="005A30C2">
            <w:pPr>
              <w:pStyle w:val="a5"/>
              <w:ind w:left="2160" w:firstLine="1277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Цена договора</w:t>
            </w:r>
          </w:p>
        </w:tc>
      </w:tr>
      <w:tr w:rsidR="00103B2F" w:rsidTr="005A30C2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2F" w:rsidRDefault="005A30C2" w:rsidP="005A30C2">
            <w:pPr>
              <w:pStyle w:val="a3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2F" w:rsidRDefault="00103B2F" w:rsidP="00103B2F">
            <w:pPr>
              <w:pStyle w:val="a3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Цена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2F" w:rsidRPr="007C1866" w:rsidRDefault="00103B2F" w:rsidP="00103B2F">
            <w:pPr>
              <w:pStyle w:val="a3"/>
              <w:tabs>
                <w:tab w:val="left" w:pos="1418"/>
              </w:tabs>
              <w:suppressAutoHyphens/>
              <w:jc w:val="center"/>
              <w:rPr>
                <w:b/>
                <w:szCs w:val="28"/>
              </w:rPr>
            </w:pPr>
            <w:r w:rsidRPr="007C1866">
              <w:rPr>
                <w:b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F" w:rsidRDefault="00103B2F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</w:t>
            </w:r>
            <w:proofErr w:type="spellStart"/>
            <w:r>
              <w:rPr>
                <w:rFonts w:ascii="Times New Roman" w:hAnsi="Times New Roman" w:cs="Times New Roman"/>
              </w:rPr>
              <w:t>j-ым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участником, по формуле:</w:t>
            </w: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103B2F" w:rsidRDefault="00103B2F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proofErr w:type="spellEnd"/>
          </w:p>
          <w:p w:rsidR="00103B2F" w:rsidRDefault="00103B2F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1B08FF">
              <w:rPr>
                <w:rFonts w:ascii="Times New Roman" w:hAnsi="Times New Roman" w:cs="Times New Roman"/>
                <w:position w:val="-6"/>
              </w:rPr>
              <w:object w:dxaOrig="312" w:dyaOrig="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75pt;height:14.25pt" o:ole="" filled="t">
                  <v:fill color2="black"/>
                  <v:imagedata r:id="rId5" o:title=""/>
                </v:shape>
                <o:OLEObject Type="Embed" ProgID="Equation.3" ShapeID="_x0000_i1026" DrawAspect="Content" ObjectID="_1623592660" r:id="rId6"/>
              </w:object>
            </w:r>
            <w:r>
              <w:rPr>
                <w:rFonts w:ascii="Times New Roman" w:hAnsi="Times New Roman" w:cs="Times New Roman"/>
                <w:i/>
              </w:rPr>
              <w:t>, где</w:t>
            </w:r>
          </w:p>
          <w:p w:rsidR="00103B2F" w:rsidRDefault="00103B2F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</w:p>
          <w:p w:rsidR="00103B2F" w:rsidRDefault="00103B2F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</w:t>
            </w:r>
            <w:r>
              <w:rPr>
                <w:rFonts w:ascii="Times New Roman" w:hAnsi="Times New Roman" w:cs="Times New Roman"/>
              </w:rPr>
              <w:t xml:space="preserve"> = 1…n, n – количество участников;</w:t>
            </w:r>
          </w:p>
          <w:p w:rsidR="00103B2F" w:rsidRDefault="00103B2F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103B2F" w:rsidRDefault="00103B2F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</w:t>
            </w:r>
            <w:proofErr w:type="spellStart"/>
            <w:r>
              <w:rPr>
                <w:rFonts w:ascii="Times New Roman" w:hAnsi="Times New Roman" w:cs="Times New Roman"/>
              </w:rPr>
              <w:t>j-ым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участником (без учета НДС);</w:t>
            </w:r>
          </w:p>
          <w:p w:rsidR="00103B2F" w:rsidRDefault="00103B2F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103B2F" w:rsidRDefault="00103B2F">
            <w:pPr>
              <w:pStyle w:val="a3"/>
              <w:tabs>
                <w:tab w:val="left" w:pos="1418"/>
              </w:tabs>
              <w:suppressAutoHyphens/>
              <w:rPr>
                <w:sz w:val="20"/>
                <w:szCs w:val="20"/>
              </w:rPr>
            </w:pPr>
            <w:r w:rsidRPr="001B08FF">
              <w:rPr>
                <w:position w:val="-6"/>
                <w:sz w:val="20"/>
                <w:szCs w:val="20"/>
              </w:rPr>
              <w:object w:dxaOrig="312" w:dyaOrig="288">
                <v:shape id="_x0000_i1027" type="#_x0000_t75" style="width:15.75pt;height:14.25pt" o:ole="" filled="t">
                  <v:fill color2="black"/>
                  <v:imagedata r:id="rId7" o:title=""/>
                </v:shape>
                <o:OLEObject Type="Embed" ProgID="Equation.3" ShapeID="_x0000_i1027" DrawAspect="Content" ObjectID="_1623592661" r:id="rId8"/>
              </w:object>
            </w:r>
            <w:r>
              <w:rPr>
                <w:sz w:val="20"/>
                <w:szCs w:val="20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A30C2" w:rsidTr="002E6E3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2" w:rsidRPr="005A30C2" w:rsidRDefault="005A30C2">
            <w:pPr>
              <w:pStyle w:val="a3"/>
              <w:jc w:val="center"/>
              <w:rPr>
                <w:szCs w:val="28"/>
              </w:rPr>
            </w:pPr>
            <w:r w:rsidRPr="005A30C2">
              <w:rPr>
                <w:szCs w:val="28"/>
              </w:rPr>
              <w:t>Квалификация участника</w:t>
            </w:r>
          </w:p>
        </w:tc>
      </w:tr>
      <w:tr w:rsidR="006D496A" w:rsidTr="0081222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Default="006D496A" w:rsidP="005A30C2">
            <w:pPr>
              <w:pStyle w:val="a3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Pr="00812220" w:rsidRDefault="006D496A" w:rsidP="0081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Опыт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Pr="00812220" w:rsidRDefault="00235B27" w:rsidP="0023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496A" w:rsidRPr="008122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2" w:rsidRDefault="006D496A" w:rsidP="005A30C2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Оценивается путем деления среднегодовой стоимости </w:t>
            </w:r>
            <w:r w:rsidR="00BC5532">
              <w:rPr>
                <w:rFonts w:ascii="Times New Roman" w:hAnsi="Times New Roman" w:cs="Times New Roman"/>
              </w:rPr>
              <w:t xml:space="preserve">оказанных </w:t>
            </w:r>
            <w:proofErr w:type="spellStart"/>
            <w:r w:rsidR="00BC5532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-ым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="005A30C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</w:t>
            </w:r>
            <w:r w:rsidR="005A30C2">
              <w:rPr>
                <w:rFonts w:ascii="Times New Roman" w:hAnsi="Times New Roman" w:cs="Times New Roman"/>
              </w:rPr>
              <w:t xml:space="preserve"> за 201</w:t>
            </w:r>
            <w:r w:rsidR="00E00332">
              <w:rPr>
                <w:rFonts w:ascii="Times New Roman" w:hAnsi="Times New Roman" w:cs="Times New Roman"/>
              </w:rPr>
              <w:t>8</w:t>
            </w:r>
            <w:r w:rsidR="005A30C2">
              <w:rPr>
                <w:rFonts w:ascii="Times New Roman" w:hAnsi="Times New Roman" w:cs="Times New Roman"/>
              </w:rPr>
              <w:t xml:space="preserve"> год по предмету </w:t>
            </w:r>
            <w:r w:rsidR="005A30C2" w:rsidRPr="005A30C2">
              <w:rPr>
                <w:rFonts w:ascii="Times New Roman" w:hAnsi="Times New Roman" w:cs="Times New Roman"/>
                <w:sz w:val="22"/>
                <w:szCs w:val="22"/>
              </w:rPr>
              <w:t xml:space="preserve">настоящего конкурса, </w:t>
            </w:r>
            <w:r w:rsidR="005A30C2" w:rsidRPr="005A30C2">
              <w:rPr>
                <w:rFonts w:ascii="Times New Roman" w:hAnsi="Times New Roman" w:cs="Times New Roman"/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5A30C2" w:rsidRPr="005A30C2" w:rsidRDefault="005A30C2" w:rsidP="005A30C2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  <w:proofErr w:type="gramStart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случае</w:t>
            </w:r>
            <w:proofErr w:type="gramEnd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, если участник в 201</w:t>
            </w:r>
            <w:r w:rsidR="00E00332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году признавался </w:t>
            </w:r>
            <w:bookmarkStart w:id="0" w:name="_GoBack"/>
            <w:bookmarkEnd w:id="0"/>
            <w:r w:rsidR="00CF059E"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судом,</w:t>
            </w: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не исполнившим свои обязательства по договорам, то стоимость оказанных участником Услуг по данным договорам не учитывается при подсчете стоимости оказанных участником Услуг в 201</w:t>
            </w:r>
            <w:r w:rsidR="00E00332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году.</w:t>
            </w:r>
          </w:p>
          <w:p w:rsidR="005A30C2" w:rsidRPr="005A30C2" w:rsidRDefault="005A30C2" w:rsidP="005A30C2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В </w:t>
            </w:r>
            <w:proofErr w:type="gramStart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случае</w:t>
            </w:r>
            <w:proofErr w:type="gramEnd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, если среднегодовая стоимость Услуг по предмету конкурса, поставленного участником за 201</w:t>
            </w:r>
            <w:r w:rsidR="00E00332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г., равна или больше среднегодовой начальной (максимальной) стоимости размещаемого заказа, участнику присваивается </w:t>
            </w:r>
            <w:r w:rsidR="00235B27"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баллов.</w:t>
            </w:r>
          </w:p>
          <w:p w:rsidR="005A30C2" w:rsidRPr="005A30C2" w:rsidRDefault="005A30C2" w:rsidP="005A30C2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В случае, если среднегодовая стоимость Услуг, оказанных участником, по предмету конкурса, за период 201</w:t>
            </w:r>
            <w:r w:rsidR="00E00332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оказанных Услуг со среднегодовой начальной (максимальной) стоимостью размещаемого заказа по формуле:</w:t>
            </w:r>
            <w:proofErr w:type="gramEnd"/>
          </w:p>
          <w:p w:rsidR="005A30C2" w:rsidRPr="005A30C2" w:rsidRDefault="005A30C2" w:rsidP="005A30C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0C2" w:rsidRPr="005A30C2" w:rsidRDefault="00812220" w:rsidP="005A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0C2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700">
                <v:shape id="_x0000_i1028" type="#_x0000_t75" style="width:233.25pt;height:55.5pt" o:ole="">
                  <v:imagedata r:id="rId9" o:title=""/>
                </v:shape>
                <o:OLEObject Type="Embed" ProgID="Equation.3" ShapeID="_x0000_i1028" DrawAspect="Content" ObjectID="_1623592662" r:id="rId10"/>
              </w:object>
            </w:r>
          </w:p>
          <w:p w:rsidR="005A30C2" w:rsidRPr="005A30C2" w:rsidRDefault="005A30C2" w:rsidP="005A30C2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A30C2" w:rsidRPr="005A30C2" w:rsidRDefault="005A30C2" w:rsidP="005A30C2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– среднегодовая стоимость оказанных Услуг, по предмету конкурса, оказанных участником за 201</w:t>
            </w:r>
            <w:r w:rsidR="00DE1442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г.;</w:t>
            </w:r>
          </w:p>
          <w:p w:rsidR="005A30C2" w:rsidRPr="005A30C2" w:rsidRDefault="005A30C2" w:rsidP="005A30C2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ср. год. </w:t>
            </w:r>
            <w:proofErr w:type="spellStart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разм</w:t>
            </w:r>
            <w:proofErr w:type="spellEnd"/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5A30C2" w:rsidRPr="005A30C2" w:rsidRDefault="005A30C2" w:rsidP="005A30C2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30C2">
              <w:rPr>
                <w:rFonts w:ascii="Times New Roman" w:hAnsi="Times New Roman" w:cs="Times New Roman"/>
                <w:bCs/>
                <w:sz w:val="21"/>
                <w:szCs w:val="21"/>
              </w:rPr>
              <w:t>25 – максимально возможное количество баллов по данному критерию.</w:t>
            </w:r>
          </w:p>
          <w:p w:rsidR="006D496A" w:rsidRDefault="006D49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496A" w:rsidTr="007C18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Default="007C1866" w:rsidP="007C1866">
            <w:pPr>
              <w:pStyle w:val="a3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Default="006D496A" w:rsidP="007C1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Pr="007C1866" w:rsidRDefault="006D496A" w:rsidP="007C18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18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A" w:rsidRDefault="006D496A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Оценивается путем деления количества отзывов/ рекомендаций/ благодарностей от заказчиков, указанных в сведениях об опыте поставок оказания услуг, предложенных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>
              <w:rPr>
                <w:rFonts w:ascii="Times New Roman" w:hAnsi="Times New Roman" w:cs="Times New Roman"/>
                <w:i/>
                <w:iCs/>
              </w:rPr>
              <w:t>-ым</w:t>
            </w:r>
            <w:r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D496A" w:rsidRDefault="00A35C48">
            <w:pPr>
              <w:pStyle w:val="a3"/>
              <w:jc w:val="center"/>
              <w:rPr>
                <w:sz w:val="20"/>
                <w:szCs w:val="20"/>
              </w:rPr>
            </w:pPr>
            <w:r w:rsidRPr="00A35C48">
              <w:rPr>
                <w:rFonts w:eastAsia="MS Mincho"/>
                <w:noProof/>
                <w:sz w:val="26"/>
              </w:rPr>
            </w:r>
            <w:r w:rsidRPr="00A35C48">
              <w:rPr>
                <w:rFonts w:eastAsia="MS Mincho"/>
                <w:noProof/>
                <w:sz w:val="26"/>
              </w:rPr>
              <w:pict>
                <v:group id="Группа 2" o:spid="_x0000_s1026" style="width:102.25pt;height:50.3pt;mso-position-horizontal-relative:char;mso-position-vertical-relative:line" coordsize="2045,1143">
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vWMMA&#10;AADaAAAADwAAAGRycy9kb3ducmV2LnhtbESPQYvCMBSE78L+h/AWvGm6C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vWMMAAADaAAAADwAAAAAAAAAAAAAAAACYAgAAZHJzL2Rv&#10;d25yZXYueG1sUEsFBgAAAAAEAAQA9QAAAIgDAAAAAA==&#10;" filled="f" stroked="f" strokecolor="#3465a4">
                    <v:stroke joinstyle="round"/>
                  </v:rect>
                  <v:line id="Line 4" o:spid="_x0000_s1028" style="position:absolute;visibility:visibl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lZMAAAADaAAAADwAAAGRycy9kb3ducmV2LnhtbESP3YrCMBSE7wXfIRzBO00V8a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IJWTAAAAA2gAAAA8AAAAAAAAAAAAAAAAA&#10;oQIAAGRycy9kb3ducmV2LnhtbFBLBQYAAAAABAAEAPkAAACOAwAAAAA=&#10;" strokeweight=".21mm">
                    <v:stroke joinstyle="miter"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624;top:228;width:301;height:3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D496A" w:rsidRDefault="006D496A" w:rsidP="006D496A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64;top:434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D496A" w:rsidRDefault="006D496A" w:rsidP="006D496A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61;top:20;width:277;height:3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<v:stroke joinstyle="round"/>
                    <v:textbox inset="0,0,0,0">
                      <w:txbxContent>
                        <w:p w:rsidR="006D496A" w:rsidRDefault="006D496A" w:rsidP="006D496A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4;top:228;width:261;height:3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<v:stroke joinstyle="round"/>
                    <v:textbox inset="0,0,0,0">
                      <w:txbxContent>
                        <w:p w:rsidR="006D496A" w:rsidRDefault="006D496A" w:rsidP="006D496A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033" type="#_x0000_t202" style="position:absolute;left:752;top:547;width:30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D496A" w:rsidRDefault="006D496A" w:rsidP="006D496A">
                          <w:pP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34" type="#_x0000_t202" style="position:absolute;left:288;top:228;width:172;height:3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bScUA&#10;AADbAAAADwAAAGRycy9kb3ducmV2LnhtbESPQWvCQBCF7wX/wzJCb3VjpUWiq4hY8CCWqCjehuyY&#10;RLOzIbvV9N93DgVvM7w3730znXeuVndqQ+XZwHCQgCLOva24MHDYf72NQYWIbLH2TAZ+KcB81nuZ&#10;Ymr9gzO672KhJIRDigbKGJtU65CX5DAMfEMs2sW3DqOsbaFtiw8Jd7V+T5JP7bBiaSixoWVJ+W33&#10;4wyM9tuPjT8W1/Nq/J1UeXYaZvZkzGu/W0xAReri0/x/vba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dtJxQAAANs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D496A" w:rsidRDefault="006D496A" w:rsidP="006D496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6D496A">
              <w:rPr>
                <w:sz w:val="24"/>
              </w:rPr>
              <w:t xml:space="preserve">, </w:t>
            </w:r>
            <w:r w:rsidR="006D496A">
              <w:rPr>
                <w:sz w:val="20"/>
                <w:szCs w:val="20"/>
              </w:rPr>
              <w:t>где</w:t>
            </w:r>
          </w:p>
          <w:p w:rsidR="006D496A" w:rsidRDefault="006D49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" cy="1295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– количество </w:t>
            </w:r>
            <w:r w:rsidR="00BC5532">
              <w:rPr>
                <w:sz w:val="20"/>
                <w:szCs w:val="20"/>
              </w:rPr>
              <w:t>баллов участника</w:t>
            </w:r>
            <w:r>
              <w:rPr>
                <w:sz w:val="20"/>
                <w:szCs w:val="20"/>
              </w:rPr>
              <w:t xml:space="preserve"> по критерию;</w:t>
            </w:r>
          </w:p>
          <w:p w:rsidR="006D496A" w:rsidRDefault="006D49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</w:t>
            </w:r>
            <w:proofErr w:type="spellStart"/>
            <w:r>
              <w:rPr>
                <w:sz w:val="20"/>
                <w:szCs w:val="20"/>
              </w:rPr>
              <w:t>j-ым</w:t>
            </w:r>
            <w:proofErr w:type="spellEnd"/>
            <w:r>
              <w:rPr>
                <w:sz w:val="20"/>
                <w:szCs w:val="20"/>
              </w:rPr>
              <w:t xml:space="preserve"> участником;</w:t>
            </w:r>
          </w:p>
          <w:p w:rsidR="006D496A" w:rsidRDefault="006D496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Гmax</w:t>
            </w:r>
            <w:proofErr w:type="spellEnd"/>
            <w:r>
              <w:rPr>
                <w:sz w:val="20"/>
                <w:szCs w:val="20"/>
              </w:rPr>
              <w:t xml:space="preserve"> – максимальное количество отзывов/ рекомендаций/ благодарностей из всех, предложенных участниками;</w:t>
            </w:r>
          </w:p>
          <w:p w:rsidR="006D496A" w:rsidRDefault="006D496A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D496A" w:rsidRDefault="006D496A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отсутствие отзывов/ рекомендаций/ благодарностей.</w:t>
            </w:r>
          </w:p>
          <w:p w:rsidR="006D496A" w:rsidRDefault="006D496A">
            <w:pPr>
              <w:pStyle w:val="a3"/>
              <w:rPr>
                <w:sz w:val="24"/>
              </w:rPr>
            </w:pPr>
            <w:r>
              <w:rPr>
                <w:sz w:val="20"/>
                <w:szCs w:val="20"/>
              </w:rPr>
              <w:t>В случае предоставления участником нескольких отзывов/ рекомендаций/ благодарностей, выданных одной организацией, такие отзывы засчитываются как один отзыв/ рекомендация/ благодарность.</w:t>
            </w:r>
          </w:p>
        </w:tc>
      </w:tr>
      <w:tr w:rsidR="006D496A" w:rsidTr="00103B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A" w:rsidRDefault="006D496A">
            <w:pPr>
              <w:pStyle w:val="a3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A" w:rsidRDefault="006D496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6A" w:rsidRDefault="006D49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A" w:rsidRDefault="006D496A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6D496A" w:rsidRDefault="006D496A" w:rsidP="006D496A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96A" w:rsidRDefault="006D496A" w:rsidP="006D496A">
      <w:pPr>
        <w:shd w:val="clear" w:color="auto" w:fill="FFFFFF"/>
        <w:tabs>
          <w:tab w:val="left" w:pos="9214"/>
        </w:tabs>
        <w:spacing w:before="120" w:after="120"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6D496A" w:rsidRPr="00613498" w:rsidRDefault="006D496A" w:rsidP="00DE1442">
      <w:pPr>
        <w:pStyle w:val="1"/>
        <w:ind w:firstLine="0"/>
        <w:rPr>
          <w:szCs w:val="24"/>
        </w:rPr>
      </w:pPr>
      <w:r w:rsidRPr="00DE1442">
        <w:rPr>
          <w:bCs/>
          <w:szCs w:val="24"/>
        </w:rPr>
        <w:t xml:space="preserve">Решение о победителе открытого конкурса </w:t>
      </w:r>
      <w:r w:rsidRPr="00DE1442">
        <w:rPr>
          <w:szCs w:val="24"/>
        </w:rPr>
        <w:t xml:space="preserve">№ </w:t>
      </w:r>
      <w:r w:rsidR="00A503A6">
        <w:rPr>
          <w:szCs w:val="24"/>
        </w:rPr>
        <w:t>049/ТВРЗ/2019</w:t>
      </w:r>
      <w:r w:rsidR="00613498" w:rsidRPr="00DE1442">
        <w:rPr>
          <w:szCs w:val="24"/>
        </w:rPr>
        <w:t xml:space="preserve"> </w:t>
      </w:r>
      <w:r w:rsidR="007947BE" w:rsidRPr="00DE1442">
        <w:t xml:space="preserve">на оказание транспортных услуг по доставке автомобильным транспортом колесных пар </w:t>
      </w:r>
      <w:r w:rsidR="007947BE" w:rsidRPr="00DE1442">
        <w:lastRenderedPageBreak/>
        <w:t xml:space="preserve">железнодорожного подвижного состава </w:t>
      </w:r>
      <w:r w:rsidR="007947BE" w:rsidRPr="00DE1442">
        <w:rPr>
          <w:szCs w:val="28"/>
        </w:rPr>
        <w:t xml:space="preserve"> в 2019 г.</w:t>
      </w:r>
      <w:r w:rsidR="00DE1442" w:rsidRPr="00DE1442">
        <w:rPr>
          <w:szCs w:val="28"/>
        </w:rPr>
        <w:t xml:space="preserve"> </w:t>
      </w:r>
      <w:r w:rsidR="00613498" w:rsidRPr="00DE1442">
        <w:rPr>
          <w:szCs w:val="24"/>
        </w:rPr>
        <w:t>принимает</w:t>
      </w:r>
      <w:r w:rsidRPr="00DE1442">
        <w:rPr>
          <w:szCs w:val="24"/>
        </w:rPr>
        <w:t xml:space="preserve"> Конкурсная комиссия </w:t>
      </w:r>
      <w:r w:rsidR="007947BE" w:rsidRPr="00DE1442">
        <w:rPr>
          <w:szCs w:val="24"/>
        </w:rPr>
        <w:t xml:space="preserve">Тамбовского </w:t>
      </w:r>
      <w:r w:rsidRPr="00DE1442">
        <w:rPr>
          <w:szCs w:val="24"/>
        </w:rPr>
        <w:t>ВРЗ АО «ВРМ».</w:t>
      </w:r>
    </w:p>
    <w:p w:rsidR="006D496A" w:rsidRPr="00613498" w:rsidRDefault="006D496A" w:rsidP="006D496A">
      <w:pPr>
        <w:pStyle w:val="1"/>
        <w:ind w:firstLine="567"/>
        <w:rPr>
          <w:sz w:val="24"/>
          <w:szCs w:val="24"/>
        </w:rPr>
      </w:pPr>
    </w:p>
    <w:p w:rsidR="00A35F61" w:rsidRPr="00613498" w:rsidRDefault="00BD5935">
      <w:pPr>
        <w:rPr>
          <w:rFonts w:ascii="Times New Roman" w:hAnsi="Times New Roman" w:cs="Times New Roman"/>
        </w:rPr>
      </w:pPr>
    </w:p>
    <w:sectPr w:rsidR="00A35F61" w:rsidRPr="00613498" w:rsidSect="001B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6A"/>
    <w:rsid w:val="00103B2F"/>
    <w:rsid w:val="001B08FF"/>
    <w:rsid w:val="001E6BCC"/>
    <w:rsid w:val="00235B27"/>
    <w:rsid w:val="00321B7F"/>
    <w:rsid w:val="00362216"/>
    <w:rsid w:val="00381584"/>
    <w:rsid w:val="00392E5F"/>
    <w:rsid w:val="0039354E"/>
    <w:rsid w:val="003D761D"/>
    <w:rsid w:val="00410FB4"/>
    <w:rsid w:val="00486ABB"/>
    <w:rsid w:val="005A30C2"/>
    <w:rsid w:val="005F50FA"/>
    <w:rsid w:val="00613498"/>
    <w:rsid w:val="00640C3A"/>
    <w:rsid w:val="006D496A"/>
    <w:rsid w:val="00743A87"/>
    <w:rsid w:val="007905AB"/>
    <w:rsid w:val="007947BE"/>
    <w:rsid w:val="007C1866"/>
    <w:rsid w:val="007C38D4"/>
    <w:rsid w:val="007D193B"/>
    <w:rsid w:val="00812220"/>
    <w:rsid w:val="008F6DE4"/>
    <w:rsid w:val="00A35C48"/>
    <w:rsid w:val="00A503A6"/>
    <w:rsid w:val="00AA370F"/>
    <w:rsid w:val="00BC5532"/>
    <w:rsid w:val="00BD5935"/>
    <w:rsid w:val="00C46FC5"/>
    <w:rsid w:val="00CA39E6"/>
    <w:rsid w:val="00CF059E"/>
    <w:rsid w:val="00D0066A"/>
    <w:rsid w:val="00D01BE8"/>
    <w:rsid w:val="00D20931"/>
    <w:rsid w:val="00D251D4"/>
    <w:rsid w:val="00D52665"/>
    <w:rsid w:val="00DD2BDF"/>
    <w:rsid w:val="00DE1442"/>
    <w:rsid w:val="00DE1AE2"/>
    <w:rsid w:val="00E00332"/>
    <w:rsid w:val="00E50728"/>
    <w:rsid w:val="00F13DAE"/>
    <w:rsid w:val="00FE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D496A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D496A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D49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D496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nhideWhenUsed/>
    <w:rsid w:val="006D496A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4">
    <w:name w:val="Основной текст Знак"/>
    <w:basedOn w:val="a0"/>
    <w:link w:val="a3"/>
    <w:rsid w:val="006D496A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496A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496A"/>
    <w:rPr>
      <w:rFonts w:ascii="Times New Roman" w:eastAsia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7">
    <w:name w:val="List Paragraph"/>
    <w:basedOn w:val="a"/>
    <w:uiPriority w:val="99"/>
    <w:qFormat/>
    <w:rsid w:val="006D496A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6D496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D49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6D49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47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ВРМ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Овелян Людмила Сергеевна</dc:creator>
  <cp:lastModifiedBy>СычеваАЮ</cp:lastModifiedBy>
  <cp:revision>3</cp:revision>
  <dcterms:created xsi:type="dcterms:W3CDTF">2019-07-02T08:49:00Z</dcterms:created>
  <dcterms:modified xsi:type="dcterms:W3CDTF">2019-07-02T14:11:00Z</dcterms:modified>
</cp:coreProperties>
</file>