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1968B8">
      <w:pPr>
        <w:spacing w:line="276" w:lineRule="auto"/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1968B8">
      <w:pPr>
        <w:spacing w:line="276" w:lineRule="auto"/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1968B8">
      <w:pPr>
        <w:spacing w:line="276" w:lineRule="auto"/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0F4AD9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1968B8">
      <w:pPr>
        <w:spacing w:line="276" w:lineRule="auto"/>
        <w:ind w:left="4395"/>
        <w:rPr>
          <w:b/>
          <w:bCs/>
          <w:sz w:val="28"/>
          <w:szCs w:val="28"/>
        </w:rPr>
      </w:pPr>
    </w:p>
    <w:p w:rsidR="00413752" w:rsidRPr="00413752" w:rsidRDefault="00B007F8" w:rsidP="001968B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13752">
        <w:rPr>
          <w:b/>
          <w:sz w:val="28"/>
          <w:szCs w:val="28"/>
        </w:rPr>
        <w:t>Методика оценки</w:t>
      </w:r>
      <w:r w:rsidR="00B416AA" w:rsidRPr="00413752">
        <w:rPr>
          <w:b/>
          <w:sz w:val="28"/>
          <w:szCs w:val="28"/>
        </w:rPr>
        <w:t xml:space="preserve"> </w:t>
      </w:r>
      <w:r w:rsidR="00772096" w:rsidRPr="00413752">
        <w:rPr>
          <w:b/>
          <w:sz w:val="28"/>
          <w:szCs w:val="28"/>
        </w:rPr>
        <w:t>конкурсных заявок</w:t>
      </w:r>
      <w:r w:rsidRPr="00413752">
        <w:rPr>
          <w:b/>
          <w:sz w:val="28"/>
          <w:szCs w:val="28"/>
        </w:rPr>
        <w:t xml:space="preserve"> </w:t>
      </w:r>
      <w:r w:rsidR="0051749B" w:rsidRPr="00413752">
        <w:rPr>
          <w:b/>
          <w:sz w:val="28"/>
          <w:szCs w:val="28"/>
        </w:rPr>
        <w:t xml:space="preserve">участников </w:t>
      </w:r>
      <w:r w:rsidR="00927E72" w:rsidRPr="00413752">
        <w:rPr>
          <w:b/>
          <w:sz w:val="28"/>
          <w:szCs w:val="28"/>
        </w:rPr>
        <w:t xml:space="preserve">открытого конкурса </w:t>
      </w:r>
      <w:r w:rsidR="007066F8" w:rsidRPr="00413752">
        <w:rPr>
          <w:b/>
          <w:sz w:val="28"/>
          <w:szCs w:val="28"/>
        </w:rPr>
        <w:t xml:space="preserve">№ </w:t>
      </w:r>
      <w:r w:rsidR="000F4AD9">
        <w:rPr>
          <w:b/>
          <w:sz w:val="28"/>
          <w:szCs w:val="28"/>
        </w:rPr>
        <w:t>030</w:t>
      </w:r>
      <w:r w:rsidR="009F743C" w:rsidRPr="00413752">
        <w:rPr>
          <w:b/>
          <w:sz w:val="28"/>
          <w:szCs w:val="28"/>
        </w:rPr>
        <w:t>/</w:t>
      </w:r>
      <w:r w:rsidR="00832A55" w:rsidRPr="00413752">
        <w:rPr>
          <w:b/>
          <w:sz w:val="28"/>
          <w:szCs w:val="28"/>
        </w:rPr>
        <w:t>Т</w:t>
      </w:r>
      <w:r w:rsidR="009F743C" w:rsidRPr="00413752">
        <w:rPr>
          <w:b/>
          <w:sz w:val="28"/>
          <w:szCs w:val="28"/>
        </w:rPr>
        <w:t>ВР</w:t>
      </w:r>
      <w:r w:rsidR="007965D9" w:rsidRPr="00413752">
        <w:rPr>
          <w:b/>
          <w:sz w:val="28"/>
          <w:szCs w:val="28"/>
        </w:rPr>
        <w:t>З</w:t>
      </w:r>
      <w:r w:rsidR="009F743C" w:rsidRPr="00413752">
        <w:rPr>
          <w:b/>
          <w:sz w:val="28"/>
          <w:szCs w:val="28"/>
        </w:rPr>
        <w:t>/201</w:t>
      </w:r>
      <w:r w:rsidR="000F4AD9">
        <w:rPr>
          <w:b/>
          <w:sz w:val="28"/>
          <w:szCs w:val="28"/>
        </w:rPr>
        <w:t>9</w:t>
      </w:r>
      <w:r w:rsidR="00413752" w:rsidRPr="00413752">
        <w:rPr>
          <w:b/>
          <w:sz w:val="28"/>
          <w:szCs w:val="28"/>
        </w:rPr>
        <w:t xml:space="preserve"> на право заключения договора </w:t>
      </w:r>
      <w:r w:rsidR="00413752" w:rsidRPr="00413752">
        <w:rPr>
          <w:b/>
          <w:color w:val="000000"/>
          <w:sz w:val="28"/>
          <w:szCs w:val="28"/>
        </w:rPr>
        <w:t xml:space="preserve">по </w:t>
      </w:r>
      <w:r w:rsidR="00413752" w:rsidRPr="00413752">
        <w:rPr>
          <w:b/>
          <w:sz w:val="28"/>
          <w:szCs w:val="28"/>
        </w:rPr>
        <w:t xml:space="preserve">капитальному ремонту </w:t>
      </w:r>
      <w:r w:rsidR="000F4AD9">
        <w:rPr>
          <w:b/>
          <w:sz w:val="28"/>
          <w:szCs w:val="28"/>
        </w:rPr>
        <w:t>трансформатора ЭТМПК 1600/10 инв. №45037</w:t>
      </w:r>
      <w:r w:rsidR="00413752" w:rsidRPr="00413752">
        <w:rPr>
          <w:b/>
          <w:sz w:val="28"/>
          <w:szCs w:val="28"/>
        </w:rPr>
        <w:t xml:space="preserve"> (далее - Договор), находящегося на балансовом учете Тамбовского вагоноремонтного завода АО «ВРМ», в 2019 году</w:t>
      </w:r>
      <w:r w:rsidR="00413752">
        <w:rPr>
          <w:b/>
          <w:sz w:val="28"/>
          <w:szCs w:val="28"/>
        </w:rPr>
        <w:t>.</w:t>
      </w:r>
    </w:p>
    <w:p w:rsidR="00413752" w:rsidRDefault="00413752" w:rsidP="001968B8">
      <w:pPr>
        <w:spacing w:line="276" w:lineRule="auto"/>
        <w:ind w:firstLine="567"/>
        <w:jc w:val="both"/>
        <w:rPr>
          <w:b/>
          <w:szCs w:val="28"/>
        </w:rPr>
      </w:pPr>
    </w:p>
    <w:p w:rsidR="001968B8" w:rsidRDefault="001968B8" w:rsidP="00413752">
      <w:pPr>
        <w:ind w:firstLine="567"/>
        <w:jc w:val="both"/>
        <w:rPr>
          <w:b/>
          <w:szCs w:val="28"/>
        </w:rPr>
      </w:pPr>
    </w:p>
    <w:p w:rsidR="00B007F8" w:rsidRDefault="001968B8" w:rsidP="001968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07F8" w:rsidRPr="00413752">
        <w:rPr>
          <w:b/>
          <w:sz w:val="28"/>
          <w:szCs w:val="28"/>
        </w:rPr>
        <w:t>Общие положения</w:t>
      </w:r>
    </w:p>
    <w:p w:rsidR="001968B8" w:rsidRPr="00413752" w:rsidRDefault="001968B8" w:rsidP="001968B8">
      <w:pPr>
        <w:ind w:firstLine="567"/>
        <w:jc w:val="center"/>
        <w:rPr>
          <w:b/>
          <w:sz w:val="28"/>
          <w:szCs w:val="28"/>
        </w:rPr>
      </w:pPr>
    </w:p>
    <w:p w:rsidR="00413752" w:rsidRPr="00413752" w:rsidRDefault="00645E7E" w:rsidP="001968B8">
      <w:pPr>
        <w:spacing w:line="360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 </w:t>
      </w:r>
      <w:r w:rsidR="00FD5F3F" w:rsidRPr="00413752">
        <w:rPr>
          <w:sz w:val="28"/>
          <w:szCs w:val="28"/>
        </w:rPr>
        <w:t xml:space="preserve">Настоящая </w:t>
      </w:r>
      <w:r w:rsidR="00565788" w:rsidRPr="00413752">
        <w:rPr>
          <w:sz w:val="28"/>
          <w:szCs w:val="28"/>
        </w:rPr>
        <w:t xml:space="preserve">методика разработана для оценки </w:t>
      </w:r>
      <w:r w:rsidR="00FD5F3F" w:rsidRPr="00413752">
        <w:rPr>
          <w:sz w:val="28"/>
          <w:szCs w:val="28"/>
        </w:rPr>
        <w:t xml:space="preserve">заявок, </w:t>
      </w:r>
      <w:r w:rsidR="003727D8" w:rsidRPr="00413752">
        <w:rPr>
          <w:sz w:val="28"/>
          <w:szCs w:val="28"/>
        </w:rPr>
        <w:t>п</w:t>
      </w:r>
      <w:r w:rsidR="00565788" w:rsidRPr="00413752">
        <w:rPr>
          <w:sz w:val="28"/>
          <w:szCs w:val="28"/>
        </w:rPr>
        <w:t xml:space="preserve">редставленных для участия в </w:t>
      </w:r>
      <w:r w:rsidR="00FD5F3F" w:rsidRPr="00413752">
        <w:rPr>
          <w:sz w:val="28"/>
          <w:szCs w:val="28"/>
        </w:rPr>
        <w:t>открыт</w:t>
      </w:r>
      <w:r w:rsidR="00565788" w:rsidRPr="00413752">
        <w:rPr>
          <w:sz w:val="28"/>
          <w:szCs w:val="28"/>
        </w:rPr>
        <w:t>ом</w:t>
      </w:r>
      <w:r w:rsidR="00FD5F3F" w:rsidRPr="00413752">
        <w:rPr>
          <w:sz w:val="28"/>
          <w:szCs w:val="28"/>
        </w:rPr>
        <w:t xml:space="preserve"> </w:t>
      </w:r>
      <w:r w:rsidR="00413752" w:rsidRPr="00413752">
        <w:rPr>
          <w:sz w:val="28"/>
          <w:szCs w:val="28"/>
        </w:rPr>
        <w:t>конкурс</w:t>
      </w:r>
      <w:r w:rsidR="000F4AD9">
        <w:rPr>
          <w:sz w:val="28"/>
          <w:szCs w:val="28"/>
        </w:rPr>
        <w:t>е</w:t>
      </w:r>
      <w:r w:rsidR="00413752" w:rsidRPr="00413752">
        <w:rPr>
          <w:sz w:val="28"/>
          <w:szCs w:val="28"/>
        </w:rPr>
        <w:t xml:space="preserve"> </w:t>
      </w:r>
      <w:r w:rsidR="000F4AD9" w:rsidRPr="000F4AD9">
        <w:rPr>
          <w:sz w:val="28"/>
          <w:szCs w:val="28"/>
        </w:rPr>
        <w:t xml:space="preserve">№ 030/ТВРЗ/2019 на право заключения договора </w:t>
      </w:r>
      <w:r w:rsidR="000F4AD9" w:rsidRPr="000F4AD9">
        <w:rPr>
          <w:color w:val="000000"/>
          <w:sz w:val="28"/>
          <w:szCs w:val="28"/>
        </w:rPr>
        <w:t xml:space="preserve">по </w:t>
      </w:r>
      <w:r w:rsidR="000F4AD9" w:rsidRPr="000F4AD9">
        <w:rPr>
          <w:sz w:val="28"/>
          <w:szCs w:val="28"/>
        </w:rPr>
        <w:t xml:space="preserve">капитальному ремонту трансформатора ЭТМПК 1600/10 инв. №45037 </w:t>
      </w:r>
      <w:r w:rsidR="00413752" w:rsidRPr="00413752">
        <w:rPr>
          <w:sz w:val="28"/>
          <w:szCs w:val="28"/>
        </w:rPr>
        <w:t>(далее - Договор), находящегося на балансовом учете Тамбовского вагоноремонтного завода АО «ВРМ», в 2019 году</w:t>
      </w:r>
    </w:p>
    <w:p w:rsidR="003854EF" w:rsidRPr="00413752" w:rsidRDefault="003854EF" w:rsidP="001968B8">
      <w:pPr>
        <w:spacing w:line="360" w:lineRule="auto"/>
        <w:ind w:firstLine="567"/>
        <w:jc w:val="both"/>
        <w:rPr>
          <w:sz w:val="28"/>
          <w:szCs w:val="28"/>
        </w:rPr>
      </w:pPr>
      <w:r w:rsidRPr="00413752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1968B8">
      <w:pPr>
        <w:pStyle w:val="Normal1"/>
        <w:spacing w:line="360" w:lineRule="auto"/>
        <w:ind w:firstLine="567"/>
        <w:rPr>
          <w:szCs w:val="28"/>
        </w:rPr>
      </w:pPr>
      <w:r w:rsidRPr="00413752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</w:t>
      </w:r>
      <w:r w:rsidRPr="003854EF">
        <w:rPr>
          <w:szCs w:val="28"/>
        </w:rPr>
        <w:t xml:space="preserve"> заявок участников открытого конкурса.</w:t>
      </w:r>
    </w:p>
    <w:p w:rsidR="003854EF" w:rsidRPr="003854EF" w:rsidRDefault="003854EF" w:rsidP="001968B8">
      <w:pPr>
        <w:pStyle w:val="a6"/>
        <w:spacing w:line="360" w:lineRule="auto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3854EF" w:rsidRPr="003854EF" w:rsidRDefault="003854EF" w:rsidP="001968B8">
      <w:pPr>
        <w:shd w:val="clear" w:color="auto" w:fill="FFFFFF"/>
        <w:spacing w:before="120" w:after="120" w:line="360" w:lineRule="auto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015886" w:rsidRDefault="00015886" w:rsidP="001968B8">
      <w:pPr>
        <w:shd w:val="clear" w:color="auto" w:fill="FFFFFF"/>
        <w:spacing w:before="120" w:after="120" w:line="360" w:lineRule="auto"/>
        <w:rPr>
          <w:b/>
          <w:sz w:val="28"/>
          <w:szCs w:val="28"/>
        </w:rPr>
      </w:pPr>
    </w:p>
    <w:p w:rsidR="00D83D68" w:rsidRPr="00F51A1A" w:rsidRDefault="00D83D68" w:rsidP="001968B8">
      <w:pPr>
        <w:shd w:val="clear" w:color="auto" w:fill="FFFFFF"/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1968B8">
      <w:pPr>
        <w:spacing w:line="360" w:lineRule="auto"/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Pr="00F51A1A">
        <w:rPr>
          <w:sz w:val="28"/>
          <w:szCs w:val="28"/>
        </w:rPr>
        <w:t xml:space="preserve">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968B8" w:rsidRDefault="001968B8" w:rsidP="001968B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left="-108" w:right="-135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68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68B8">
              <w:rPr>
                <w:b/>
                <w:sz w:val="22"/>
                <w:szCs w:val="22"/>
              </w:rPr>
              <w:t>/</w:t>
            </w:r>
            <w:proofErr w:type="spellStart"/>
            <w:r w:rsidRPr="001968B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854EF"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пыт участника.</w:t>
            </w:r>
          </w:p>
        </w:tc>
      </w:tr>
      <w:tr w:rsidR="003854EF" w:rsidRPr="00F51A1A" w:rsidTr="009D3D71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1968B8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1968B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9E7CE7">
              <w:rPr>
                <w:sz w:val="22"/>
                <w:szCs w:val="22"/>
              </w:rPr>
              <w:t>выпо</w:t>
            </w:r>
            <w:r w:rsidR="004F55F3">
              <w:rPr>
                <w:sz w:val="22"/>
                <w:szCs w:val="22"/>
              </w:rPr>
              <w:t>лненных Работ</w:t>
            </w:r>
            <w:r w:rsidRPr="001968B8">
              <w:rPr>
                <w:sz w:val="22"/>
                <w:szCs w:val="22"/>
              </w:rPr>
              <w:t xml:space="preserve"> участником  за </w:t>
            </w:r>
            <w:r w:rsidR="001A412E" w:rsidRPr="001968B8">
              <w:rPr>
                <w:sz w:val="22"/>
                <w:szCs w:val="22"/>
              </w:rPr>
              <w:t>201</w:t>
            </w:r>
            <w:r w:rsidR="009E7CE7">
              <w:rPr>
                <w:sz w:val="22"/>
                <w:szCs w:val="22"/>
              </w:rPr>
              <w:t>8</w:t>
            </w:r>
            <w:r w:rsidR="00AC1217" w:rsidRPr="001968B8">
              <w:rPr>
                <w:sz w:val="22"/>
                <w:szCs w:val="22"/>
              </w:rPr>
              <w:t xml:space="preserve"> </w:t>
            </w:r>
            <w:r w:rsidR="001A412E" w:rsidRPr="001968B8">
              <w:rPr>
                <w:sz w:val="22"/>
                <w:szCs w:val="22"/>
              </w:rPr>
              <w:t>г.</w:t>
            </w:r>
            <w:r w:rsidRPr="001968B8">
              <w:rPr>
                <w:sz w:val="22"/>
                <w:szCs w:val="22"/>
              </w:rPr>
              <w:t xml:space="preserve">, по предмету настоящего конкурса, </w:t>
            </w:r>
            <w:r w:rsidRPr="001968B8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 xml:space="preserve">В случае, если участник в </w:t>
            </w:r>
            <w:r w:rsidR="001A412E" w:rsidRPr="001968B8">
              <w:rPr>
                <w:bCs/>
                <w:sz w:val="22"/>
                <w:szCs w:val="22"/>
              </w:rPr>
              <w:t>201</w:t>
            </w:r>
            <w:r w:rsidR="009E7CE7">
              <w:rPr>
                <w:bCs/>
                <w:sz w:val="22"/>
                <w:szCs w:val="22"/>
              </w:rPr>
              <w:t>8</w:t>
            </w:r>
            <w:r w:rsidR="001A412E" w:rsidRPr="001968B8">
              <w:rPr>
                <w:bCs/>
                <w:sz w:val="22"/>
                <w:szCs w:val="22"/>
              </w:rPr>
              <w:t xml:space="preserve"> году</w:t>
            </w:r>
            <w:r w:rsidRPr="001968B8">
              <w:rPr>
                <w:bCs/>
                <w:sz w:val="22"/>
                <w:szCs w:val="22"/>
              </w:rPr>
              <w:t xml:space="preserve"> признавался </w:t>
            </w:r>
            <w:proofErr w:type="gramStart"/>
            <w:r w:rsidRPr="001968B8">
              <w:rPr>
                <w:bCs/>
                <w:sz w:val="22"/>
                <w:szCs w:val="22"/>
              </w:rPr>
              <w:t>судом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не исполнившим свои обязательства по договорам, то стоимость </w:t>
            </w:r>
            <w:r w:rsidR="004F55F3">
              <w:rPr>
                <w:bCs/>
                <w:sz w:val="22"/>
                <w:szCs w:val="22"/>
              </w:rPr>
              <w:t>выполненных Работ</w:t>
            </w:r>
            <w:r w:rsidRPr="001968B8">
              <w:rPr>
                <w:bCs/>
                <w:sz w:val="22"/>
                <w:szCs w:val="22"/>
              </w:rPr>
              <w:t xml:space="preserve"> участником по данным договорам не учитывается при подсчете стоимости </w:t>
            </w:r>
            <w:r w:rsidR="004F55F3">
              <w:rPr>
                <w:bCs/>
                <w:sz w:val="22"/>
                <w:szCs w:val="22"/>
              </w:rPr>
              <w:t>выполненных Работ</w:t>
            </w:r>
            <w:r w:rsidRPr="001968B8">
              <w:rPr>
                <w:bCs/>
                <w:sz w:val="22"/>
                <w:szCs w:val="22"/>
              </w:rPr>
              <w:t xml:space="preserve"> участником в </w:t>
            </w:r>
            <w:r w:rsidR="001A412E" w:rsidRPr="001968B8">
              <w:rPr>
                <w:bCs/>
                <w:sz w:val="22"/>
                <w:szCs w:val="22"/>
              </w:rPr>
              <w:t>201</w:t>
            </w:r>
            <w:r w:rsidR="009E7CE7">
              <w:rPr>
                <w:bCs/>
                <w:sz w:val="22"/>
                <w:szCs w:val="22"/>
              </w:rPr>
              <w:t>8</w:t>
            </w:r>
            <w:r w:rsidRPr="001968B8">
              <w:rPr>
                <w:bCs/>
                <w:sz w:val="22"/>
                <w:szCs w:val="22"/>
              </w:rPr>
              <w:t xml:space="preserve"> год</w:t>
            </w:r>
            <w:r w:rsidR="001A412E" w:rsidRPr="001968B8">
              <w:rPr>
                <w:bCs/>
                <w:sz w:val="22"/>
                <w:szCs w:val="22"/>
              </w:rPr>
              <w:t>у</w:t>
            </w:r>
            <w:r w:rsidRPr="001968B8">
              <w:rPr>
                <w:bCs/>
                <w:sz w:val="22"/>
                <w:szCs w:val="22"/>
              </w:rPr>
              <w:t>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968B8">
              <w:rPr>
                <w:bCs/>
                <w:sz w:val="22"/>
                <w:szCs w:val="22"/>
              </w:rPr>
              <w:t>случае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, если среднегодовая стоимость </w:t>
            </w:r>
            <w:r w:rsidR="004F55F3">
              <w:rPr>
                <w:bCs/>
                <w:sz w:val="22"/>
                <w:szCs w:val="22"/>
              </w:rPr>
              <w:t>Работ</w:t>
            </w:r>
            <w:r w:rsidRPr="001968B8">
              <w:rPr>
                <w:bCs/>
                <w:sz w:val="22"/>
                <w:szCs w:val="22"/>
              </w:rPr>
              <w:t xml:space="preserve"> по предмету конкурса, </w:t>
            </w:r>
            <w:r w:rsidR="004F55F3">
              <w:rPr>
                <w:bCs/>
                <w:sz w:val="22"/>
                <w:szCs w:val="22"/>
              </w:rPr>
              <w:t>выполненных</w:t>
            </w:r>
            <w:r w:rsidRPr="001968B8">
              <w:rPr>
                <w:bCs/>
                <w:sz w:val="22"/>
                <w:szCs w:val="22"/>
              </w:rPr>
              <w:t xml:space="preserve"> участником за </w:t>
            </w:r>
            <w:r w:rsidR="001A412E" w:rsidRPr="001968B8">
              <w:rPr>
                <w:bCs/>
                <w:sz w:val="22"/>
                <w:szCs w:val="22"/>
              </w:rPr>
              <w:t>201</w:t>
            </w:r>
            <w:r w:rsidR="009E7CE7">
              <w:rPr>
                <w:bCs/>
                <w:sz w:val="22"/>
                <w:szCs w:val="22"/>
              </w:rPr>
              <w:t>8</w:t>
            </w:r>
            <w:r w:rsidR="00AC1217" w:rsidRPr="001968B8">
              <w:rPr>
                <w:bCs/>
                <w:sz w:val="22"/>
                <w:szCs w:val="22"/>
              </w:rPr>
              <w:t xml:space="preserve"> </w:t>
            </w:r>
            <w:r w:rsidR="001A412E" w:rsidRPr="001968B8">
              <w:rPr>
                <w:bCs/>
                <w:sz w:val="22"/>
                <w:szCs w:val="22"/>
              </w:rPr>
              <w:t>г.</w:t>
            </w:r>
            <w:r w:rsidRPr="001968B8">
              <w:rPr>
                <w:bCs/>
                <w:sz w:val="22"/>
                <w:szCs w:val="22"/>
              </w:rPr>
              <w:t>, равна или больше среднегодовой начальной (максимальной) стоимости размещаемого заказа, участнику присваивается 25 баллов.</w:t>
            </w:r>
          </w:p>
          <w:p w:rsidR="003854EF" w:rsidRPr="001968B8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proofErr w:type="gramStart"/>
            <w:r w:rsidRPr="001968B8">
              <w:rPr>
                <w:bCs/>
                <w:sz w:val="22"/>
                <w:szCs w:val="22"/>
              </w:rPr>
              <w:t xml:space="preserve">В случае, если среднегодовая стоимость </w:t>
            </w:r>
            <w:r w:rsidR="004F55F3">
              <w:rPr>
                <w:bCs/>
                <w:sz w:val="22"/>
                <w:szCs w:val="22"/>
              </w:rPr>
              <w:t>Работ</w:t>
            </w:r>
            <w:r w:rsidRPr="001968B8">
              <w:rPr>
                <w:bCs/>
                <w:sz w:val="22"/>
                <w:szCs w:val="22"/>
              </w:rPr>
              <w:t xml:space="preserve">, </w:t>
            </w:r>
            <w:r w:rsidR="004F55F3">
              <w:rPr>
                <w:bCs/>
                <w:sz w:val="22"/>
                <w:szCs w:val="22"/>
              </w:rPr>
              <w:t>выполненных</w:t>
            </w:r>
            <w:r w:rsidRPr="001968B8">
              <w:rPr>
                <w:bCs/>
                <w:sz w:val="22"/>
                <w:szCs w:val="22"/>
              </w:rPr>
              <w:t xml:space="preserve"> участником, по предмету конкурса, за </w:t>
            </w:r>
            <w:r w:rsidR="001A412E" w:rsidRPr="001968B8">
              <w:rPr>
                <w:bCs/>
                <w:sz w:val="22"/>
                <w:szCs w:val="22"/>
              </w:rPr>
              <w:t>201</w:t>
            </w:r>
            <w:r w:rsidR="009E7CE7">
              <w:rPr>
                <w:bCs/>
                <w:sz w:val="22"/>
                <w:szCs w:val="22"/>
              </w:rPr>
              <w:t>8</w:t>
            </w:r>
            <w:r w:rsidR="00AC1217" w:rsidRPr="001968B8">
              <w:rPr>
                <w:bCs/>
                <w:sz w:val="22"/>
                <w:szCs w:val="22"/>
              </w:rPr>
              <w:t xml:space="preserve"> </w:t>
            </w:r>
            <w:r w:rsidRPr="001968B8">
              <w:rPr>
                <w:bCs/>
                <w:sz w:val="22"/>
                <w:szCs w:val="22"/>
              </w:rPr>
              <w:t xml:space="preserve">г.,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4F55F3">
              <w:rPr>
                <w:bCs/>
                <w:sz w:val="22"/>
                <w:szCs w:val="22"/>
              </w:rPr>
              <w:t>выполненных Работ</w:t>
            </w:r>
            <w:r w:rsidRPr="001968B8">
              <w:rPr>
                <w:bCs/>
                <w:sz w:val="22"/>
                <w:szCs w:val="22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3854EF" w:rsidRPr="001968B8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1968B8" w:rsidRDefault="003854EF" w:rsidP="0076509C">
            <w:pPr>
              <w:rPr>
                <w:sz w:val="22"/>
                <w:szCs w:val="22"/>
              </w:rPr>
            </w:pPr>
            <w:r w:rsidRPr="001968B8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7024573" r:id="rId9"/>
              </w:objec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2"/>
                <w:szCs w:val="22"/>
              </w:rPr>
            </w:pPr>
            <w:proofErr w:type="spellStart"/>
            <w:r w:rsidRPr="001968B8">
              <w:rPr>
                <w:bCs/>
                <w:sz w:val="22"/>
                <w:szCs w:val="22"/>
              </w:rPr>
              <w:t>Б</w:t>
            </w:r>
            <w:proofErr w:type="gramStart"/>
            <w:r w:rsidRPr="001968B8">
              <w:rPr>
                <w:bCs/>
                <w:sz w:val="22"/>
                <w:szCs w:val="22"/>
              </w:rPr>
              <w:t>j</w:t>
            </w:r>
            <w:proofErr w:type="spellEnd"/>
            <w:proofErr w:type="gramEnd"/>
            <w:r w:rsidRPr="001968B8">
              <w:rPr>
                <w:bCs/>
                <w:sz w:val="22"/>
                <w:szCs w:val="22"/>
              </w:rPr>
              <w:t xml:space="preserve"> - количество баллов j-го участника;</w:t>
            </w:r>
          </w:p>
          <w:p w:rsidR="003854EF" w:rsidRPr="001968B8" w:rsidRDefault="00BD6501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1968B8">
              <w:rPr>
                <w:bCs/>
                <w:sz w:val="22"/>
                <w:szCs w:val="22"/>
              </w:rPr>
              <w:t>Ц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∑ср.год. –</w:t>
            </w:r>
            <w:r w:rsidR="003854EF" w:rsidRPr="001968B8">
              <w:rPr>
                <w:bCs/>
                <w:sz w:val="22"/>
                <w:szCs w:val="22"/>
              </w:rPr>
              <w:t xml:space="preserve"> стоимость </w:t>
            </w:r>
            <w:r w:rsidR="00551874">
              <w:rPr>
                <w:bCs/>
                <w:sz w:val="22"/>
                <w:szCs w:val="22"/>
              </w:rPr>
              <w:t>выполненных</w:t>
            </w:r>
            <w:r w:rsidRPr="001968B8">
              <w:rPr>
                <w:bCs/>
                <w:sz w:val="22"/>
                <w:szCs w:val="22"/>
              </w:rPr>
              <w:t xml:space="preserve"> в 201</w:t>
            </w:r>
            <w:r w:rsidR="009E7CE7">
              <w:rPr>
                <w:bCs/>
                <w:sz w:val="22"/>
                <w:szCs w:val="22"/>
              </w:rPr>
              <w:t>8</w:t>
            </w:r>
            <w:r w:rsidRPr="001968B8">
              <w:rPr>
                <w:bCs/>
                <w:sz w:val="22"/>
                <w:szCs w:val="22"/>
              </w:rPr>
              <w:t xml:space="preserve"> г.</w:t>
            </w:r>
            <w:r w:rsidR="001A412E" w:rsidRPr="001968B8">
              <w:rPr>
                <w:bCs/>
                <w:sz w:val="22"/>
                <w:szCs w:val="22"/>
              </w:rPr>
              <w:t xml:space="preserve"> </w:t>
            </w:r>
            <w:r w:rsidR="00551874">
              <w:rPr>
                <w:bCs/>
                <w:sz w:val="22"/>
                <w:szCs w:val="22"/>
              </w:rPr>
              <w:t>Работ</w:t>
            </w:r>
            <w:r w:rsidR="003854EF" w:rsidRPr="001968B8">
              <w:rPr>
                <w:bCs/>
                <w:sz w:val="22"/>
                <w:szCs w:val="22"/>
              </w:rPr>
              <w:t xml:space="preserve">, по предмету конкурса, </w:t>
            </w:r>
            <w:r w:rsidR="00551874">
              <w:rPr>
                <w:bCs/>
                <w:sz w:val="22"/>
                <w:szCs w:val="22"/>
              </w:rPr>
              <w:t>выполненных</w:t>
            </w:r>
            <w:r w:rsidR="003854EF" w:rsidRPr="001968B8">
              <w:rPr>
                <w:bCs/>
                <w:sz w:val="22"/>
                <w:szCs w:val="22"/>
              </w:rPr>
              <w:t xml:space="preserve"> участником за </w:t>
            </w:r>
            <w:r w:rsidR="001A412E" w:rsidRPr="001968B8">
              <w:rPr>
                <w:bCs/>
                <w:sz w:val="22"/>
                <w:szCs w:val="22"/>
              </w:rPr>
              <w:t>2017</w:t>
            </w:r>
            <w:r w:rsidR="003854EF" w:rsidRPr="001968B8">
              <w:rPr>
                <w:bCs/>
                <w:sz w:val="22"/>
                <w:szCs w:val="22"/>
              </w:rPr>
              <w:t xml:space="preserve"> г.;</w: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1968B8">
              <w:rPr>
                <w:bCs/>
                <w:sz w:val="22"/>
                <w:szCs w:val="22"/>
              </w:rPr>
              <w:t>Ц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 Ʃ ср. год. </w:t>
            </w:r>
            <w:proofErr w:type="spellStart"/>
            <w:r w:rsidRPr="001968B8">
              <w:rPr>
                <w:bCs/>
                <w:sz w:val="22"/>
                <w:szCs w:val="22"/>
              </w:rPr>
              <w:t>разм</w:t>
            </w:r>
            <w:proofErr w:type="spellEnd"/>
            <w:r w:rsidRPr="001968B8">
              <w:rPr>
                <w:bCs/>
                <w:sz w:val="22"/>
                <w:szCs w:val="22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3854EF" w:rsidRPr="001968B8" w:rsidRDefault="003854EF" w:rsidP="0076509C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1968B8">
              <w:rPr>
                <w:bCs/>
                <w:sz w:val="22"/>
              </w:rPr>
              <w:t>25 – максимально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right="-29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t>При налич</w:t>
            </w:r>
            <w:proofErr w:type="gramStart"/>
            <w:r w:rsidRPr="001968B8">
              <w:rPr>
                <w:bCs/>
                <w:sz w:val="22"/>
                <w:szCs w:val="22"/>
              </w:rPr>
              <w:t>ии у у</w:t>
            </w:r>
            <w:proofErr w:type="gramEnd"/>
            <w:r w:rsidRPr="001968B8">
              <w:rPr>
                <w:bCs/>
                <w:sz w:val="22"/>
                <w:szCs w:val="22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551874">
              <w:rPr>
                <w:bCs/>
                <w:sz w:val="22"/>
                <w:szCs w:val="22"/>
              </w:rPr>
              <w:t>выполненных Работ</w:t>
            </w:r>
            <w:r w:rsidRPr="001968B8">
              <w:rPr>
                <w:bCs/>
                <w:sz w:val="22"/>
                <w:szCs w:val="22"/>
              </w:rPr>
              <w:t xml:space="preserve"> по предмету конкурса</w:t>
            </w:r>
            <w:r w:rsidRPr="001968B8">
              <w:rPr>
                <w:sz w:val="22"/>
                <w:szCs w:val="22"/>
              </w:rPr>
              <w:t xml:space="preserve">, </w:t>
            </w:r>
            <w:r w:rsidRPr="001968B8">
              <w:rPr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5 баллов.</w:t>
            </w:r>
          </w:p>
          <w:p w:rsidR="003854EF" w:rsidRPr="001968B8" w:rsidRDefault="003854EF" w:rsidP="0076509C">
            <w:pPr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0 баллов</w:t>
            </w:r>
            <w:r w:rsidRPr="001968B8">
              <w:rPr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1968B8" w:rsidRDefault="003854EF" w:rsidP="0076509C">
            <w:pPr>
              <w:jc w:val="both"/>
              <w:rPr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5</w:t>
            </w:r>
            <w:r w:rsidRPr="001968B8">
              <w:rPr>
                <w:bCs/>
                <w:sz w:val="22"/>
                <w:szCs w:val="22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1968B8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8B8">
              <w:rPr>
                <w:rFonts w:ascii="Times New Roman" w:hAnsi="Times New Roman" w:cs="Times New Roman"/>
                <w:b/>
                <w:sz w:val="22"/>
                <w:szCs w:val="22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1968B8" w:rsidRDefault="003854EF" w:rsidP="0076509C">
            <w:pPr>
              <w:ind w:right="-135"/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68B8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pStyle w:val="a6"/>
              <w:ind w:firstLine="540"/>
              <w:rPr>
                <w:sz w:val="22"/>
              </w:rPr>
            </w:pPr>
            <w:r w:rsidRPr="001968B8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–</w:t>
            </w:r>
            <w:proofErr w:type="spellStart"/>
            <w:r w:rsidRPr="001968B8">
              <w:rPr>
                <w:bCs/>
                <w:sz w:val="22"/>
              </w:rPr>
              <w:t>тым</w:t>
            </w:r>
            <w:proofErr w:type="spellEnd"/>
            <w:r w:rsidRPr="001968B8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1968B8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1968B8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7024574" r:id="rId11"/>
              </w:object>
            </w:r>
            <w:r w:rsidRPr="001968B8">
              <w:rPr>
                <w:b/>
                <w:bCs/>
                <w:sz w:val="22"/>
              </w:rPr>
              <w:t xml:space="preserve">, </w:t>
            </w:r>
            <w:r w:rsidRPr="001968B8">
              <w:rPr>
                <w:bCs/>
                <w:sz w:val="22"/>
              </w:rPr>
              <w:t xml:space="preserve">где </w:t>
            </w:r>
          </w:p>
          <w:p w:rsidR="003854EF" w:rsidRPr="001968B8" w:rsidRDefault="003854EF" w:rsidP="0076509C">
            <w:pPr>
              <w:pStyle w:val="a6"/>
              <w:rPr>
                <w:sz w:val="22"/>
              </w:rPr>
            </w:pP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= 1….</w:t>
            </w:r>
            <w:proofErr w:type="spellStart"/>
            <w:r w:rsidRPr="001968B8">
              <w:rPr>
                <w:bCs/>
                <w:sz w:val="22"/>
              </w:rPr>
              <w:t>n</w:t>
            </w:r>
            <w:proofErr w:type="spellEnd"/>
            <w:r w:rsidRPr="001968B8">
              <w:rPr>
                <w:bCs/>
                <w:sz w:val="22"/>
              </w:rPr>
              <w:t xml:space="preserve">, </w:t>
            </w:r>
            <w:proofErr w:type="spellStart"/>
            <w:r w:rsidRPr="001968B8">
              <w:rPr>
                <w:bCs/>
                <w:sz w:val="22"/>
              </w:rPr>
              <w:t>n</w:t>
            </w:r>
            <w:proofErr w:type="spellEnd"/>
            <w:r w:rsidRPr="001968B8">
              <w:rPr>
                <w:bCs/>
                <w:sz w:val="22"/>
              </w:rPr>
              <w:t xml:space="preserve"> -  количество участников;</w:t>
            </w:r>
          </w:p>
          <w:p w:rsidR="003854EF" w:rsidRPr="001968B8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Б</w:t>
            </w:r>
            <w:proofErr w:type="gramEnd"/>
            <w:r w:rsidRPr="001968B8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7024575" r:id="rId13"/>
              </w:object>
            </w:r>
            <w:r w:rsidRPr="001968B8">
              <w:rPr>
                <w:bCs/>
                <w:sz w:val="22"/>
              </w:rPr>
              <w:t xml:space="preserve"> – количество баллов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 xml:space="preserve"> –ого участника;</w:t>
            </w:r>
          </w:p>
          <w:p w:rsidR="003854EF" w:rsidRPr="001968B8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Ц</w:t>
            </w:r>
            <w:proofErr w:type="gramEnd"/>
            <w:r w:rsidRPr="001968B8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7024576" r:id="rId15"/>
              </w:object>
            </w:r>
            <w:r w:rsidRPr="001968B8">
              <w:rPr>
                <w:bCs/>
                <w:sz w:val="22"/>
              </w:rPr>
              <w:t xml:space="preserve">– стоимость </w:t>
            </w:r>
            <w:r w:rsidRPr="001968B8">
              <w:rPr>
                <w:sz w:val="22"/>
              </w:rPr>
              <w:t>финансово-коммерческого предложения</w:t>
            </w:r>
            <w:r w:rsidRPr="001968B8">
              <w:rPr>
                <w:bCs/>
                <w:sz w:val="22"/>
              </w:rPr>
              <w:t xml:space="preserve">, представленная </w:t>
            </w:r>
            <w:r w:rsidRPr="001968B8">
              <w:rPr>
                <w:bCs/>
                <w:sz w:val="22"/>
                <w:lang w:val="en-US"/>
              </w:rPr>
              <w:t>j</w:t>
            </w:r>
            <w:r w:rsidRPr="001968B8">
              <w:rPr>
                <w:bCs/>
                <w:sz w:val="22"/>
              </w:rPr>
              <w:t>-</w:t>
            </w:r>
            <w:proofErr w:type="spellStart"/>
            <w:r w:rsidRPr="001968B8">
              <w:rPr>
                <w:bCs/>
                <w:sz w:val="22"/>
              </w:rPr>
              <w:t>ым</w:t>
            </w:r>
            <w:proofErr w:type="spellEnd"/>
            <w:r w:rsidRPr="001968B8">
              <w:rPr>
                <w:bCs/>
                <w:sz w:val="22"/>
              </w:rPr>
              <w:t xml:space="preserve"> участником;</w:t>
            </w:r>
          </w:p>
          <w:p w:rsidR="003854EF" w:rsidRPr="001968B8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1968B8">
              <w:rPr>
                <w:bCs/>
                <w:sz w:val="22"/>
              </w:rPr>
              <w:t>Ц</w:t>
            </w:r>
            <w:proofErr w:type="gramEnd"/>
            <w:r w:rsidRPr="001968B8">
              <w:rPr>
                <w:bCs/>
                <w:sz w:val="22"/>
                <w:vertAlign w:val="subscript"/>
                <w:lang w:val="en-US"/>
              </w:rPr>
              <w:t>min</w:t>
            </w:r>
            <w:r w:rsidRPr="001968B8">
              <w:rPr>
                <w:bCs/>
                <w:sz w:val="22"/>
              </w:rPr>
              <w:t xml:space="preserve"> – минимальная стоимость </w:t>
            </w:r>
            <w:r w:rsidRPr="001968B8">
              <w:rPr>
                <w:sz w:val="22"/>
              </w:rPr>
              <w:t>финансово-коммерческого предложения</w:t>
            </w:r>
            <w:r w:rsidRPr="001968B8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1968B8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1968B8" w:rsidRDefault="003854EF" w:rsidP="0076509C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1968B8">
              <w:rPr>
                <w:bCs/>
                <w:sz w:val="22"/>
                <w:szCs w:val="22"/>
              </w:rPr>
              <w:sym w:font="Symbol" w:char="F02A"/>
            </w:r>
            <w:r w:rsidRPr="001968B8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968B8">
              <w:rPr>
                <w:bCs/>
                <w:sz w:val="22"/>
                <w:szCs w:val="22"/>
              </w:rPr>
              <w:t>случае</w:t>
            </w:r>
            <w:proofErr w:type="gramEnd"/>
            <w:r w:rsidRPr="001968B8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 сопоставляется стоимость коммерческих предложений, без учета НДС.</w:t>
            </w:r>
          </w:p>
          <w:p w:rsidR="003854EF" w:rsidRPr="001968B8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sz w:val="22"/>
                <w:szCs w:val="22"/>
              </w:rPr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1968B8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1968B8" w:rsidRDefault="003854EF" w:rsidP="0076509C">
            <w:pPr>
              <w:jc w:val="center"/>
              <w:rPr>
                <w:b/>
                <w:bCs/>
                <w:sz w:val="22"/>
                <w:szCs w:val="22"/>
              </w:rPr>
            </w:pPr>
            <w:r w:rsidRPr="001968B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1968B8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  <w:rPr>
                <w:sz w:val="22"/>
                <w:szCs w:val="22"/>
              </w:rPr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1968B8">
      <w:pPr>
        <w:pStyle w:val="a6"/>
        <w:keepNext/>
        <w:widowControl/>
        <w:spacing w:before="120" w:after="120" w:line="360" w:lineRule="auto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1968B8" w:rsidRPr="007B7F41" w:rsidRDefault="00D83D68" w:rsidP="001968B8">
      <w:pPr>
        <w:spacing w:line="360" w:lineRule="auto"/>
        <w:ind w:left="340" w:firstLine="368"/>
        <w:jc w:val="both"/>
        <w:rPr>
          <w:sz w:val="28"/>
          <w:szCs w:val="28"/>
        </w:rPr>
      </w:pPr>
      <w:r w:rsidRPr="00413752">
        <w:rPr>
          <w:sz w:val="28"/>
          <w:szCs w:val="28"/>
        </w:rPr>
        <w:t>Решение</w:t>
      </w:r>
      <w:r w:rsidR="00B47E89" w:rsidRPr="00413752">
        <w:rPr>
          <w:sz w:val="28"/>
          <w:szCs w:val="28"/>
        </w:rPr>
        <w:t xml:space="preserve"> </w:t>
      </w:r>
      <w:r w:rsidRPr="00413752">
        <w:rPr>
          <w:sz w:val="28"/>
          <w:szCs w:val="28"/>
        </w:rPr>
        <w:t>о</w:t>
      </w:r>
      <w:r w:rsidR="00B47E89" w:rsidRPr="00413752">
        <w:rPr>
          <w:sz w:val="28"/>
          <w:szCs w:val="28"/>
        </w:rPr>
        <w:t xml:space="preserve"> </w:t>
      </w:r>
      <w:r w:rsidR="00D0556E" w:rsidRPr="00413752">
        <w:rPr>
          <w:sz w:val="28"/>
          <w:szCs w:val="28"/>
        </w:rPr>
        <w:t>победителе</w:t>
      </w:r>
      <w:r w:rsidR="00B47E89" w:rsidRPr="00413752">
        <w:rPr>
          <w:sz w:val="28"/>
          <w:szCs w:val="28"/>
        </w:rPr>
        <w:t xml:space="preserve"> открытого</w:t>
      </w:r>
      <w:r w:rsidRPr="00413752">
        <w:rPr>
          <w:sz w:val="28"/>
          <w:szCs w:val="28"/>
        </w:rPr>
        <w:t xml:space="preserve"> конкурса</w:t>
      </w:r>
      <w:r w:rsidR="00BB2056" w:rsidRPr="00413752">
        <w:rPr>
          <w:sz w:val="28"/>
          <w:szCs w:val="28"/>
        </w:rPr>
        <w:t xml:space="preserve"> </w:t>
      </w:r>
      <w:r w:rsidR="000F4AD9" w:rsidRPr="000F4AD9">
        <w:rPr>
          <w:sz w:val="28"/>
          <w:szCs w:val="28"/>
        </w:rPr>
        <w:t xml:space="preserve">№ 030/ТВРЗ/2019 на право заключения договора </w:t>
      </w:r>
      <w:r w:rsidR="000F4AD9" w:rsidRPr="000F4AD9">
        <w:rPr>
          <w:color w:val="000000"/>
          <w:sz w:val="28"/>
          <w:szCs w:val="28"/>
        </w:rPr>
        <w:t xml:space="preserve">по </w:t>
      </w:r>
      <w:r w:rsidR="000F4AD9" w:rsidRPr="000F4AD9">
        <w:rPr>
          <w:sz w:val="28"/>
          <w:szCs w:val="28"/>
        </w:rPr>
        <w:t>капитальному ремонту трансформатора ЭТМПК 1600/10 инв. №45037</w:t>
      </w:r>
      <w:r w:rsidR="000F4AD9" w:rsidRPr="00413752">
        <w:rPr>
          <w:b/>
          <w:sz w:val="28"/>
          <w:szCs w:val="28"/>
        </w:rPr>
        <w:t xml:space="preserve"> </w:t>
      </w:r>
      <w:r w:rsidR="000F4AD9" w:rsidRPr="00413752">
        <w:rPr>
          <w:sz w:val="28"/>
          <w:szCs w:val="28"/>
        </w:rPr>
        <w:t>(</w:t>
      </w:r>
      <w:r w:rsidR="00413752" w:rsidRPr="00413752">
        <w:rPr>
          <w:sz w:val="28"/>
          <w:szCs w:val="28"/>
        </w:rPr>
        <w:t>далее - Договор), находящегося на балансовом учете Тамбовского вагоноремонтного завода АО «ВРМ», в 2019 году</w:t>
      </w:r>
      <w:r w:rsidR="001968B8" w:rsidRPr="001968B8">
        <w:rPr>
          <w:sz w:val="28"/>
          <w:szCs w:val="28"/>
        </w:rPr>
        <w:t xml:space="preserve"> </w:t>
      </w:r>
      <w:r w:rsidR="001968B8" w:rsidRPr="007B7F41">
        <w:rPr>
          <w:sz w:val="28"/>
          <w:szCs w:val="28"/>
        </w:rPr>
        <w:t>принимает Конкурсная комиссия Тамбовского ВРЗ АО «ВРМ».</w:t>
      </w:r>
    </w:p>
    <w:p w:rsidR="00F51A1A" w:rsidRPr="00413752" w:rsidRDefault="00F51A1A" w:rsidP="001968B8">
      <w:pPr>
        <w:spacing w:line="360" w:lineRule="auto"/>
        <w:jc w:val="both"/>
        <w:rPr>
          <w:sz w:val="28"/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3854EF" w:rsidRPr="00413752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1968B8">
      <w:headerReference w:type="even" r:id="rId16"/>
      <w:pgSz w:w="11906" w:h="16838"/>
      <w:pgMar w:top="851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A5" w:rsidRDefault="00EF0EA5">
      <w:r>
        <w:separator/>
      </w:r>
    </w:p>
  </w:endnote>
  <w:endnote w:type="continuationSeparator" w:id="0">
    <w:p w:rsidR="00EF0EA5" w:rsidRDefault="00EF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A5" w:rsidRDefault="00EF0EA5">
      <w:r>
        <w:separator/>
      </w:r>
    </w:p>
  </w:footnote>
  <w:footnote w:type="continuationSeparator" w:id="0">
    <w:p w:rsidR="00EF0EA5" w:rsidRDefault="00EF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C2A3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1A79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4AD9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2CE0"/>
    <w:rsid w:val="00174F36"/>
    <w:rsid w:val="00175F1E"/>
    <w:rsid w:val="00176583"/>
    <w:rsid w:val="00176F64"/>
    <w:rsid w:val="00187D98"/>
    <w:rsid w:val="001906EC"/>
    <w:rsid w:val="00194F65"/>
    <w:rsid w:val="00194FDD"/>
    <w:rsid w:val="001968B8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14CF"/>
    <w:rsid w:val="001B6D4A"/>
    <w:rsid w:val="001C2A32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3752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55F3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2F89"/>
    <w:rsid w:val="00534CCA"/>
    <w:rsid w:val="0053740B"/>
    <w:rsid w:val="00537F7B"/>
    <w:rsid w:val="00542B0A"/>
    <w:rsid w:val="00545D88"/>
    <w:rsid w:val="00547F7A"/>
    <w:rsid w:val="0055044F"/>
    <w:rsid w:val="00551874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103D"/>
    <w:rsid w:val="005D2018"/>
    <w:rsid w:val="005D24F8"/>
    <w:rsid w:val="005D2A8A"/>
    <w:rsid w:val="005D311D"/>
    <w:rsid w:val="005D39D1"/>
    <w:rsid w:val="005E2BEC"/>
    <w:rsid w:val="005E3240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24C8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4536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CB1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E7CE7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E2DB7"/>
    <w:rsid w:val="00CE43AA"/>
    <w:rsid w:val="00CE5091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EA5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67EF0"/>
    <w:rsid w:val="00F7179A"/>
    <w:rsid w:val="00F73F78"/>
    <w:rsid w:val="00F77B04"/>
    <w:rsid w:val="00F80FD9"/>
    <w:rsid w:val="00F81454"/>
    <w:rsid w:val="00F85E36"/>
    <w:rsid w:val="00F90A4C"/>
    <w:rsid w:val="00F90E64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35C5-DEB2-4D78-A108-B8220367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6</cp:revision>
  <cp:lastPrinted>2018-06-19T12:18:00Z</cp:lastPrinted>
  <dcterms:created xsi:type="dcterms:W3CDTF">2019-04-17T09:04:00Z</dcterms:created>
  <dcterms:modified xsi:type="dcterms:W3CDTF">2019-04-17T13:43:00Z</dcterms:modified>
</cp:coreProperties>
</file>