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AC" w:rsidRPr="008C425F" w:rsidRDefault="003550AC" w:rsidP="003550AC">
      <w:pPr>
        <w:jc w:val="center"/>
        <w:rPr>
          <w:b/>
          <w:sz w:val="32"/>
          <w:szCs w:val="32"/>
        </w:rPr>
      </w:pPr>
      <w:r>
        <w:rPr>
          <w:b/>
          <w:sz w:val="32"/>
          <w:szCs w:val="32"/>
        </w:rPr>
        <w:t xml:space="preserve">ПРОТОКОЛ № </w:t>
      </w:r>
      <w:r w:rsidRPr="006D627B">
        <w:rPr>
          <w:b/>
          <w:sz w:val="32"/>
          <w:szCs w:val="32"/>
        </w:rPr>
        <w:t>ОК/10-1</w:t>
      </w:r>
    </w:p>
    <w:p w:rsidR="003550AC" w:rsidRDefault="003550AC" w:rsidP="003550AC">
      <w:pPr>
        <w:jc w:val="center"/>
        <w:rPr>
          <w:b/>
          <w:sz w:val="32"/>
          <w:szCs w:val="32"/>
        </w:rPr>
      </w:pPr>
      <w:r>
        <w:rPr>
          <w:b/>
          <w:sz w:val="32"/>
          <w:szCs w:val="32"/>
        </w:rPr>
        <w:t>заседания экспертной группы по рассмотрению заявок, представленных для участия в открытом конкурсе</w:t>
      </w:r>
    </w:p>
    <w:p w:rsidR="003550AC" w:rsidRDefault="003550AC" w:rsidP="003550AC">
      <w:pPr>
        <w:jc w:val="center"/>
        <w:rPr>
          <w:b/>
          <w:sz w:val="32"/>
          <w:szCs w:val="32"/>
        </w:rPr>
      </w:pPr>
      <w:r>
        <w:rPr>
          <w:b/>
          <w:sz w:val="32"/>
          <w:szCs w:val="32"/>
        </w:rPr>
        <w:t>№ ОК/10-ВВРЗ/2017</w:t>
      </w:r>
    </w:p>
    <w:p w:rsidR="003550AC" w:rsidRDefault="003550AC" w:rsidP="003550AC">
      <w:pPr>
        <w:tabs>
          <w:tab w:val="left" w:pos="3660"/>
        </w:tabs>
        <w:jc w:val="both"/>
        <w:rPr>
          <w:sz w:val="28"/>
          <w:szCs w:val="28"/>
        </w:rPr>
      </w:pPr>
      <w:r>
        <w:rPr>
          <w:sz w:val="28"/>
          <w:szCs w:val="28"/>
        </w:rPr>
        <w:tab/>
      </w:r>
    </w:p>
    <w:p w:rsidR="003550AC" w:rsidRPr="00CD14ED" w:rsidRDefault="003550AC" w:rsidP="003550AC">
      <w:pPr>
        <w:tabs>
          <w:tab w:val="left" w:pos="6663"/>
        </w:tabs>
        <w:jc w:val="both"/>
        <w:rPr>
          <w:sz w:val="28"/>
          <w:szCs w:val="28"/>
        </w:rPr>
      </w:pPr>
      <w:r w:rsidRPr="00CD14ED">
        <w:rPr>
          <w:sz w:val="28"/>
          <w:szCs w:val="28"/>
        </w:rPr>
        <w:t>г. Воронеж</w:t>
      </w:r>
      <w:r w:rsidRPr="00CD14ED">
        <w:rPr>
          <w:sz w:val="28"/>
          <w:szCs w:val="28"/>
        </w:rPr>
        <w:tab/>
        <w:t xml:space="preserve">   «25»  июля 2017 г.</w:t>
      </w:r>
    </w:p>
    <w:p w:rsidR="000838E5" w:rsidRPr="000838E5" w:rsidRDefault="000838E5" w:rsidP="000838E5">
      <w:pPr>
        <w:tabs>
          <w:tab w:val="left" w:pos="6663"/>
        </w:tabs>
        <w:jc w:val="both"/>
        <w:rPr>
          <w:sz w:val="28"/>
          <w:szCs w:val="28"/>
          <w:u w:val="single"/>
        </w:rPr>
      </w:pPr>
      <w:r w:rsidRPr="000838E5">
        <w:rPr>
          <w:sz w:val="28"/>
          <w:szCs w:val="28"/>
          <w:u w:val="single"/>
        </w:rPr>
        <w:t>Присутствовали:</w:t>
      </w: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0838E5" w:rsidRPr="000838E5" w:rsidTr="001F3171">
        <w:trPr>
          <w:trHeight w:val="1833"/>
        </w:trPr>
        <w:tc>
          <w:tcPr>
            <w:tcW w:w="7196" w:type="dxa"/>
          </w:tcPr>
          <w:p w:rsidR="000838E5" w:rsidRPr="000838E5" w:rsidRDefault="000838E5" w:rsidP="001F3171">
            <w:pPr>
              <w:rPr>
                <w:sz w:val="28"/>
                <w:szCs w:val="28"/>
              </w:rPr>
            </w:pPr>
            <w:r w:rsidRPr="000838E5">
              <w:rPr>
                <w:sz w:val="28"/>
                <w:szCs w:val="28"/>
              </w:rPr>
              <w:t>Руководитель экспертной группы</w:t>
            </w:r>
          </w:p>
          <w:p w:rsidR="000838E5" w:rsidRPr="000838E5" w:rsidRDefault="000838E5" w:rsidP="001F3171">
            <w:pPr>
              <w:rPr>
                <w:sz w:val="28"/>
                <w:szCs w:val="28"/>
              </w:rPr>
            </w:pPr>
            <w:r w:rsidRPr="000838E5">
              <w:rPr>
                <w:sz w:val="28"/>
                <w:szCs w:val="28"/>
              </w:rPr>
              <w:t>Заместитель руководителя группы</w:t>
            </w:r>
          </w:p>
          <w:p w:rsidR="000838E5" w:rsidRPr="000838E5" w:rsidRDefault="000838E5" w:rsidP="001F3171">
            <w:pPr>
              <w:rPr>
                <w:sz w:val="28"/>
                <w:szCs w:val="28"/>
              </w:rPr>
            </w:pPr>
            <w:r w:rsidRPr="000838E5">
              <w:rPr>
                <w:sz w:val="28"/>
                <w:szCs w:val="28"/>
              </w:rPr>
              <w:t xml:space="preserve">                                              </w:t>
            </w:r>
          </w:p>
          <w:p w:rsidR="000838E5" w:rsidRPr="000838E5" w:rsidRDefault="000838E5" w:rsidP="001F3171">
            <w:pPr>
              <w:rPr>
                <w:sz w:val="28"/>
                <w:szCs w:val="28"/>
              </w:rPr>
            </w:pPr>
            <w:r w:rsidRPr="000838E5">
              <w:rPr>
                <w:sz w:val="28"/>
                <w:szCs w:val="28"/>
              </w:rPr>
              <w:t>Члены экспертной группы</w:t>
            </w:r>
          </w:p>
          <w:p w:rsidR="000838E5" w:rsidRPr="000838E5" w:rsidRDefault="000838E5" w:rsidP="001F3171">
            <w:pPr>
              <w:rPr>
                <w:sz w:val="28"/>
                <w:szCs w:val="28"/>
              </w:rPr>
            </w:pPr>
            <w:r w:rsidRPr="000838E5">
              <w:rPr>
                <w:sz w:val="28"/>
                <w:szCs w:val="28"/>
              </w:rPr>
              <w:t xml:space="preserve">                                     </w:t>
            </w:r>
          </w:p>
        </w:tc>
        <w:tc>
          <w:tcPr>
            <w:tcW w:w="2551" w:type="dxa"/>
          </w:tcPr>
          <w:p w:rsidR="000838E5" w:rsidRPr="000838E5" w:rsidRDefault="000838E5" w:rsidP="001F3171">
            <w:pPr>
              <w:rPr>
                <w:sz w:val="28"/>
                <w:szCs w:val="28"/>
              </w:rPr>
            </w:pPr>
          </w:p>
          <w:p w:rsidR="000838E5" w:rsidRPr="000838E5" w:rsidRDefault="000838E5" w:rsidP="00D24757">
            <w:pPr>
              <w:rPr>
                <w:sz w:val="28"/>
                <w:szCs w:val="28"/>
              </w:rPr>
            </w:pPr>
          </w:p>
        </w:tc>
      </w:tr>
    </w:tbl>
    <w:p w:rsidR="00D24757" w:rsidRPr="00CD14ED" w:rsidRDefault="003550AC" w:rsidP="003550AC">
      <w:pPr>
        <w:jc w:val="center"/>
        <w:outlineLvl w:val="0"/>
        <w:rPr>
          <w:b/>
          <w:sz w:val="28"/>
          <w:szCs w:val="28"/>
          <w:u w:val="single"/>
        </w:rPr>
      </w:pPr>
      <w:r w:rsidRPr="00CD14ED">
        <w:rPr>
          <w:b/>
          <w:sz w:val="28"/>
          <w:szCs w:val="28"/>
          <w:u w:val="single"/>
        </w:rPr>
        <w:t>Повестка дня</w:t>
      </w:r>
    </w:p>
    <w:p w:rsidR="003550AC" w:rsidRPr="00CD14ED" w:rsidRDefault="003550AC" w:rsidP="003550AC">
      <w:pPr>
        <w:pStyle w:val="a4"/>
        <w:widowControl w:val="0"/>
        <w:tabs>
          <w:tab w:val="left" w:pos="709"/>
        </w:tabs>
        <w:autoSpaceDE w:val="0"/>
        <w:autoSpaceDN w:val="0"/>
        <w:adjustRightInd w:val="0"/>
        <w:rPr>
          <w:sz w:val="28"/>
          <w:szCs w:val="28"/>
        </w:rPr>
      </w:pPr>
      <w:r w:rsidRPr="00CD14ED">
        <w:rPr>
          <w:sz w:val="28"/>
          <w:szCs w:val="28"/>
        </w:rPr>
        <w:t xml:space="preserve">1. Рассмотрение конкурсных заявок, представленных для участия в  открытом конкурсе № ОК/10-ВВРЗ/2017 на право заключения Договора поставки </w:t>
      </w:r>
      <w:r w:rsidRPr="00CD14ED">
        <w:rPr>
          <w:bCs/>
          <w:sz w:val="28"/>
          <w:szCs w:val="28"/>
        </w:rPr>
        <w:t>станка</w:t>
      </w:r>
      <w:r w:rsidRPr="00CD14ED">
        <w:rPr>
          <w:sz w:val="28"/>
          <w:szCs w:val="28"/>
        </w:rPr>
        <w:t xml:space="preserve"> электроэрозионного многопроходного типа </w:t>
      </w:r>
      <w:r w:rsidRPr="00CD14ED">
        <w:rPr>
          <w:sz w:val="28"/>
          <w:szCs w:val="28"/>
          <w:lang w:val="en-US"/>
        </w:rPr>
        <w:t>DK</w:t>
      </w:r>
      <w:r w:rsidRPr="00CD14ED">
        <w:rPr>
          <w:sz w:val="28"/>
          <w:szCs w:val="28"/>
        </w:rPr>
        <w:t xml:space="preserve">7763 </w:t>
      </w:r>
      <w:r w:rsidRPr="00CD14ED">
        <w:rPr>
          <w:sz w:val="28"/>
          <w:szCs w:val="28"/>
          <w:lang w:val="en-US"/>
        </w:rPr>
        <w:t>LWS</w:t>
      </w:r>
      <w:r w:rsidRPr="00CD14ED">
        <w:rPr>
          <w:sz w:val="28"/>
          <w:szCs w:val="28"/>
        </w:rPr>
        <w:t xml:space="preserve"> или его эквивалента с опцией угла наклона ± 45° </w:t>
      </w:r>
      <w:r w:rsidR="00BC6F75" w:rsidRPr="00BC6F75">
        <w:rPr>
          <w:sz w:val="28"/>
          <w:szCs w:val="28"/>
        </w:rPr>
        <w:t xml:space="preserve">и выполнения комплекса работ, необходимых для ввода Оборудования в эксплуатацию </w:t>
      </w:r>
      <w:r w:rsidRPr="00BC6F75">
        <w:rPr>
          <w:sz w:val="28"/>
          <w:szCs w:val="28"/>
        </w:rPr>
        <w:t>для нужд Воронежского ВРЗ - филиала АО «ВРМ», в 2017г.</w:t>
      </w:r>
      <w:r w:rsidRPr="00CD14ED">
        <w:rPr>
          <w:sz w:val="28"/>
          <w:szCs w:val="28"/>
        </w:rPr>
        <w:t xml:space="preserve">         </w:t>
      </w:r>
    </w:p>
    <w:p w:rsidR="003550AC" w:rsidRPr="00CD14ED" w:rsidRDefault="003550AC" w:rsidP="003550AC">
      <w:pPr>
        <w:pStyle w:val="a4"/>
        <w:widowControl w:val="0"/>
        <w:tabs>
          <w:tab w:val="left" w:pos="709"/>
        </w:tabs>
        <w:autoSpaceDE w:val="0"/>
        <w:autoSpaceDN w:val="0"/>
        <w:adjustRightInd w:val="0"/>
        <w:rPr>
          <w:sz w:val="28"/>
          <w:szCs w:val="28"/>
        </w:rPr>
      </w:pPr>
      <w:r w:rsidRPr="00CD14ED">
        <w:rPr>
          <w:sz w:val="28"/>
          <w:szCs w:val="28"/>
        </w:rPr>
        <w:t xml:space="preserve"> 2. Оценка заявок участников открытого конкурса № ОК/10-ВВРЗ/2017.</w:t>
      </w:r>
    </w:p>
    <w:p w:rsidR="004B7571" w:rsidRDefault="003550AC" w:rsidP="00D24757">
      <w:pPr>
        <w:pStyle w:val="3"/>
        <w:tabs>
          <w:tab w:val="left" w:pos="851"/>
        </w:tabs>
        <w:ind w:firstLine="709"/>
      </w:pPr>
      <w:r w:rsidRPr="00CD14ED">
        <w:rPr>
          <w:szCs w:val="28"/>
        </w:rPr>
        <w:t>3. Подготовка  предложений в Конкурсную комиссию Воронежского ВРЗ АО «ВРМ» по итогам открытого конкурса № ОК/10-ВВРЗ/2017.</w:t>
      </w:r>
    </w:p>
    <w:p w:rsidR="00D24757" w:rsidRPr="00D24757" w:rsidRDefault="004B7571" w:rsidP="00D24757">
      <w:pPr>
        <w:pStyle w:val="1"/>
        <w:tabs>
          <w:tab w:val="clear" w:pos="3630"/>
          <w:tab w:val="left" w:pos="720"/>
        </w:tabs>
        <w:jc w:val="center"/>
      </w:pPr>
      <w:r>
        <w:t>П</w:t>
      </w:r>
      <w:r w:rsidR="003550AC" w:rsidRPr="00CD14ED">
        <w:t>о пункту 1 повестки дня</w:t>
      </w:r>
    </w:p>
    <w:tbl>
      <w:tblPr>
        <w:tblW w:w="12758" w:type="dxa"/>
        <w:tblLook w:val="01E0"/>
      </w:tblPr>
      <w:tblGrid>
        <w:gridCol w:w="9901"/>
        <w:gridCol w:w="2857"/>
      </w:tblGrid>
      <w:tr w:rsidR="003550AC" w:rsidRPr="00CD14ED" w:rsidTr="00EB496B">
        <w:trPr>
          <w:trHeight w:val="1560"/>
        </w:trPr>
        <w:tc>
          <w:tcPr>
            <w:tcW w:w="9901" w:type="dxa"/>
          </w:tcPr>
          <w:p w:rsidR="003550AC" w:rsidRPr="00CD14ED" w:rsidRDefault="003550AC" w:rsidP="00EB496B">
            <w:pPr>
              <w:numPr>
                <w:ilvl w:val="1"/>
                <w:numId w:val="1"/>
              </w:numPr>
              <w:ind w:left="0" w:firstLine="720"/>
              <w:jc w:val="both"/>
              <w:rPr>
                <w:sz w:val="28"/>
                <w:szCs w:val="28"/>
              </w:rPr>
            </w:pPr>
            <w:r w:rsidRPr="00CD14ED">
              <w:rPr>
                <w:sz w:val="28"/>
                <w:szCs w:val="28"/>
              </w:rPr>
              <w:t>Воронежским ВРЗ АО «ВРМ» проведен открытый конкурс № ОК/10-ВВРЗ/2017.</w:t>
            </w:r>
          </w:p>
          <w:p w:rsidR="003550AC" w:rsidRPr="00CD14ED" w:rsidRDefault="003550AC" w:rsidP="00EB496B">
            <w:pPr>
              <w:spacing w:line="276" w:lineRule="auto"/>
              <w:ind w:firstLine="720"/>
              <w:jc w:val="both"/>
              <w:rPr>
                <w:sz w:val="28"/>
                <w:szCs w:val="28"/>
                <w:lang w:eastAsia="en-US"/>
              </w:rPr>
            </w:pPr>
            <w:r w:rsidRPr="00CD14ED">
              <w:rPr>
                <w:sz w:val="28"/>
                <w:szCs w:val="28"/>
                <w:lang w:eastAsia="en-US"/>
              </w:rPr>
              <w:t>К установленному в конкурсной документации сроку поступило 3 (три) заявки:</w:t>
            </w:r>
          </w:p>
          <w:p w:rsidR="003550AC" w:rsidRPr="00CD14ED" w:rsidRDefault="003550AC" w:rsidP="00EB496B">
            <w:pPr>
              <w:pStyle w:val="a3"/>
              <w:ind w:left="709"/>
              <w:outlineLvl w:val="2"/>
              <w:rPr>
                <w:sz w:val="28"/>
                <w:szCs w:val="28"/>
              </w:rPr>
            </w:pPr>
            <w:r w:rsidRPr="00CD14ED">
              <w:rPr>
                <w:sz w:val="28"/>
                <w:szCs w:val="28"/>
              </w:rPr>
              <w:t>1. ООО «ВостокМаш»;</w:t>
            </w:r>
          </w:p>
          <w:p w:rsidR="003550AC" w:rsidRPr="00CD14ED" w:rsidRDefault="003550AC" w:rsidP="00EB496B">
            <w:pPr>
              <w:pStyle w:val="a3"/>
              <w:ind w:left="709"/>
              <w:outlineLvl w:val="2"/>
              <w:rPr>
                <w:sz w:val="28"/>
                <w:szCs w:val="28"/>
              </w:rPr>
            </w:pPr>
            <w:r w:rsidRPr="00CD14ED">
              <w:rPr>
                <w:sz w:val="28"/>
                <w:szCs w:val="28"/>
              </w:rPr>
              <w:t>2. ООО «Альта»;</w:t>
            </w:r>
          </w:p>
          <w:p w:rsidR="003550AC" w:rsidRPr="00CD14ED" w:rsidRDefault="003550AC" w:rsidP="00EB496B">
            <w:pPr>
              <w:pStyle w:val="a3"/>
              <w:ind w:left="709"/>
              <w:outlineLvl w:val="2"/>
              <w:rPr>
                <w:color w:val="FF0000"/>
                <w:sz w:val="28"/>
                <w:szCs w:val="28"/>
              </w:rPr>
            </w:pPr>
            <w:r w:rsidRPr="00CD14ED">
              <w:rPr>
                <w:sz w:val="28"/>
                <w:szCs w:val="28"/>
              </w:rPr>
              <w:t>3. ООО «Измерительные технологии».</w:t>
            </w:r>
          </w:p>
          <w:p w:rsidR="003550AC" w:rsidRPr="00CD14ED" w:rsidRDefault="003550AC" w:rsidP="00EB496B">
            <w:pPr>
              <w:numPr>
                <w:ilvl w:val="1"/>
                <w:numId w:val="1"/>
              </w:numPr>
              <w:ind w:left="0" w:firstLine="698"/>
              <w:jc w:val="both"/>
              <w:rPr>
                <w:sz w:val="28"/>
                <w:szCs w:val="28"/>
              </w:rPr>
            </w:pPr>
            <w:r w:rsidRPr="00CD14ED">
              <w:rPr>
                <w:sz w:val="28"/>
                <w:szCs w:val="28"/>
              </w:rPr>
              <w:t>По итогам рассмотрения представленных заявок для участия в открытом конкурсе № ОК/10-ВВРЗ/2017 в допуске к участию в открытом конкурсе отказано следующим претендентам:</w:t>
            </w:r>
          </w:p>
          <w:p w:rsidR="003550AC" w:rsidRPr="00CD14ED" w:rsidRDefault="003550AC" w:rsidP="00EB496B">
            <w:pPr>
              <w:jc w:val="both"/>
              <w:rPr>
                <w:sz w:val="28"/>
                <w:szCs w:val="28"/>
              </w:rPr>
            </w:pPr>
            <w:r w:rsidRPr="00CD14ED">
              <w:rPr>
                <w:sz w:val="28"/>
                <w:szCs w:val="28"/>
              </w:rPr>
              <w:t xml:space="preserve">         1. ООО «ВостокМаш», в связи с несоответствием обязательным требованиям, установленным п. 2.1. раздела </w:t>
            </w:r>
            <w:r w:rsidRPr="00CD14ED">
              <w:rPr>
                <w:sz w:val="28"/>
                <w:szCs w:val="28"/>
                <w:lang w:val="en-US"/>
              </w:rPr>
              <w:t>II</w:t>
            </w:r>
            <w:r w:rsidRPr="00CD14ED">
              <w:rPr>
                <w:sz w:val="28"/>
                <w:szCs w:val="28"/>
              </w:rPr>
              <w:t xml:space="preserve"> конкурсной документации – представленные документы, </w:t>
            </w:r>
            <w:r>
              <w:rPr>
                <w:sz w:val="28"/>
                <w:szCs w:val="28"/>
              </w:rPr>
              <w:t xml:space="preserve">не соответствуют требованиям, установленным </w:t>
            </w:r>
            <w:r w:rsidRPr="00CD14ED">
              <w:rPr>
                <w:sz w:val="28"/>
                <w:szCs w:val="28"/>
              </w:rPr>
              <w:t xml:space="preserve"> пунктом </w:t>
            </w:r>
            <w:r>
              <w:rPr>
                <w:sz w:val="28"/>
                <w:szCs w:val="28"/>
              </w:rPr>
              <w:t xml:space="preserve">3.1.2., абзац 3 и абзац 5 </w:t>
            </w:r>
            <w:r w:rsidRPr="00CD14ED">
              <w:rPr>
                <w:sz w:val="28"/>
                <w:szCs w:val="28"/>
              </w:rPr>
              <w:t>конкурсной документации.</w:t>
            </w:r>
          </w:p>
          <w:p w:rsidR="003550AC" w:rsidRPr="00CD14ED" w:rsidRDefault="003550AC" w:rsidP="00EB496B">
            <w:pPr>
              <w:jc w:val="both"/>
              <w:rPr>
                <w:sz w:val="28"/>
                <w:szCs w:val="28"/>
              </w:rPr>
            </w:pPr>
            <w:r w:rsidRPr="00CD14ED">
              <w:rPr>
                <w:sz w:val="28"/>
                <w:szCs w:val="28"/>
              </w:rPr>
              <w:t xml:space="preserve">         2. ООО «Альта», в связи с несоответствием квалификационным требованиям, установленным п. 2.2. раздела </w:t>
            </w:r>
            <w:r w:rsidRPr="00CD14ED">
              <w:rPr>
                <w:sz w:val="28"/>
                <w:szCs w:val="28"/>
                <w:lang w:val="en-US"/>
              </w:rPr>
              <w:t>II</w:t>
            </w:r>
            <w:r w:rsidRPr="00CD14ED">
              <w:rPr>
                <w:sz w:val="28"/>
                <w:szCs w:val="28"/>
              </w:rPr>
              <w:t xml:space="preserve"> конкурсной документации – не представлены документы, предусмотренные пунктом 2.4., п.п. а) и п.п. г) конкурсной документации.</w:t>
            </w:r>
          </w:p>
          <w:p w:rsidR="003550AC" w:rsidRPr="00CD14ED" w:rsidRDefault="003550AC" w:rsidP="00EB496B">
            <w:pPr>
              <w:jc w:val="both"/>
              <w:rPr>
                <w:sz w:val="28"/>
                <w:szCs w:val="28"/>
              </w:rPr>
            </w:pPr>
            <w:r w:rsidRPr="00CD14ED">
              <w:rPr>
                <w:sz w:val="28"/>
                <w:szCs w:val="28"/>
              </w:rPr>
              <w:t xml:space="preserve">         1.3 Допускается и признается участником открытого конкурса № ОК/10-ВВРЗ/2017 следующий претендент:</w:t>
            </w:r>
          </w:p>
          <w:p w:rsidR="004B7571" w:rsidRDefault="003550AC" w:rsidP="00D24757">
            <w:pPr>
              <w:jc w:val="both"/>
              <w:rPr>
                <w:lang w:eastAsia="en-US"/>
              </w:rPr>
            </w:pPr>
            <w:r w:rsidRPr="00CD14ED">
              <w:rPr>
                <w:sz w:val="28"/>
                <w:szCs w:val="28"/>
              </w:rPr>
              <w:t xml:space="preserve">         - ООО «Измерительные технологии»</w:t>
            </w:r>
            <w:r w:rsidR="00D24757">
              <w:rPr>
                <w:sz w:val="28"/>
                <w:szCs w:val="28"/>
              </w:rPr>
              <w:t>.</w:t>
            </w:r>
          </w:p>
          <w:p w:rsidR="00D24757" w:rsidRPr="00D24757" w:rsidRDefault="003550AC" w:rsidP="00D24757">
            <w:pPr>
              <w:pStyle w:val="1"/>
              <w:tabs>
                <w:tab w:val="left" w:pos="720"/>
              </w:tabs>
              <w:spacing w:line="276" w:lineRule="auto"/>
              <w:jc w:val="center"/>
              <w:rPr>
                <w:lang w:eastAsia="en-US"/>
              </w:rPr>
            </w:pPr>
            <w:r w:rsidRPr="00CD14ED">
              <w:rPr>
                <w:lang w:eastAsia="en-US"/>
              </w:rPr>
              <w:t>По пункту 2 повестки дня</w:t>
            </w:r>
          </w:p>
          <w:p w:rsidR="003550AC" w:rsidRPr="00CD14ED" w:rsidRDefault="003550AC" w:rsidP="00D24757">
            <w:pPr>
              <w:rPr>
                <w:sz w:val="28"/>
                <w:szCs w:val="28"/>
                <w:lang w:eastAsia="en-US"/>
              </w:rPr>
            </w:pPr>
            <w:r w:rsidRPr="00CD14ED">
              <w:rPr>
                <w:sz w:val="28"/>
                <w:szCs w:val="28"/>
                <w:lang w:eastAsia="en-US"/>
              </w:rPr>
              <w:t xml:space="preserve">В связи с тем, что участником открытого конкурса </w:t>
            </w:r>
            <w:r w:rsidRPr="00CD14ED">
              <w:rPr>
                <w:sz w:val="28"/>
                <w:szCs w:val="28"/>
              </w:rPr>
              <w:t>№ ОК/10-ВВРЗ/2017 был признан один претендент, оценка заявки участника согласно утвержденной методике оценки заявок не производится.</w:t>
            </w:r>
          </w:p>
          <w:p w:rsidR="00D24757" w:rsidRPr="00D24757" w:rsidRDefault="003550AC" w:rsidP="00D24757">
            <w:pPr>
              <w:pStyle w:val="1"/>
              <w:tabs>
                <w:tab w:val="left" w:pos="720"/>
              </w:tabs>
              <w:jc w:val="center"/>
            </w:pPr>
            <w:r w:rsidRPr="00CD14ED">
              <w:t>По пункту 3 повестки дня</w:t>
            </w:r>
          </w:p>
          <w:p w:rsidR="003550AC" w:rsidRPr="00CD14ED" w:rsidRDefault="003550AC" w:rsidP="00EB496B">
            <w:pPr>
              <w:ind w:firstLine="709"/>
              <w:jc w:val="both"/>
              <w:rPr>
                <w:sz w:val="28"/>
                <w:szCs w:val="28"/>
              </w:rPr>
            </w:pPr>
            <w:r w:rsidRPr="00CD14ED">
              <w:rPr>
                <w:sz w:val="28"/>
                <w:szCs w:val="28"/>
              </w:rPr>
              <w:t>На основании проведенной работы по рассмотрению конкурсных заявок участников открытого конкурса № </w:t>
            </w:r>
            <w:r w:rsidRPr="00CD14ED">
              <w:rPr>
                <w:color w:val="000000"/>
                <w:sz w:val="28"/>
                <w:szCs w:val="28"/>
              </w:rPr>
              <w:t>ОК/10-ВВРЗ/2017</w:t>
            </w:r>
            <w:r w:rsidRPr="00CD14ED">
              <w:rPr>
                <w:sz w:val="28"/>
                <w:szCs w:val="28"/>
              </w:rPr>
              <w:t>, экспертная группа приняла решение вынести на рассмотрение Конкурсной комиссии Воронежского ВРЗ АО «ВРМ» следующие предложения:</w:t>
            </w:r>
          </w:p>
          <w:p w:rsidR="003550AC" w:rsidRPr="00CD14ED" w:rsidRDefault="003550AC" w:rsidP="00EB496B">
            <w:pPr>
              <w:ind w:firstLine="709"/>
              <w:jc w:val="both"/>
              <w:rPr>
                <w:color w:val="000000"/>
                <w:sz w:val="28"/>
                <w:szCs w:val="28"/>
              </w:rPr>
            </w:pPr>
            <w:r w:rsidRPr="00CD14ED">
              <w:rPr>
                <w:sz w:val="28"/>
                <w:szCs w:val="28"/>
              </w:rPr>
              <w:t>3.1. В связи с тем, что по итогам рассмотрения конкурсных заявок, требованиям открытого конкурса соответствует одна конкурсная заявка, согласно п. 2.9.9 п.п. 3) документации открытого конкурса, признать открытый конкурс № </w:t>
            </w:r>
            <w:r w:rsidRPr="00CD14ED">
              <w:rPr>
                <w:color w:val="000000"/>
                <w:sz w:val="28"/>
                <w:szCs w:val="28"/>
              </w:rPr>
              <w:t>ОК/10-ВВРЗ/2017 несостоявшимся.</w:t>
            </w:r>
          </w:p>
          <w:p w:rsidR="003550AC" w:rsidRDefault="003550AC" w:rsidP="00EB496B">
            <w:pPr>
              <w:ind w:firstLine="709"/>
              <w:jc w:val="both"/>
              <w:rPr>
                <w:sz w:val="28"/>
                <w:szCs w:val="28"/>
              </w:rPr>
            </w:pPr>
            <w:r w:rsidRPr="00CD14ED">
              <w:rPr>
                <w:color w:val="000000"/>
                <w:sz w:val="28"/>
                <w:szCs w:val="28"/>
              </w:rPr>
              <w:t xml:space="preserve">3.2. В соответствии с п. 2.9.10 конкурсной документации поручить </w:t>
            </w:r>
            <w:r w:rsidR="00B51A91">
              <w:rPr>
                <w:color w:val="000000"/>
                <w:sz w:val="28"/>
                <w:szCs w:val="28"/>
              </w:rPr>
              <w:t>ТО</w:t>
            </w:r>
            <w:r w:rsidRPr="00CD14ED">
              <w:rPr>
                <w:color w:val="000000"/>
                <w:sz w:val="28"/>
                <w:szCs w:val="28"/>
              </w:rPr>
              <w:t xml:space="preserve"> Воронежского ВРЗ АО «ВРМ» в установленном порядке заключение договора с ООО «</w:t>
            </w:r>
            <w:r w:rsidRPr="00CD14ED">
              <w:rPr>
                <w:sz w:val="28"/>
                <w:szCs w:val="28"/>
              </w:rPr>
              <w:t>Измерительные технологии» со стоимостью предложения, указанной в его финансово – коммерческом предложении 2 656 609,79 (Два миллиона шестьсот пятьдесят шесть тысяч шестьсот девять рублей 79 коп.) без учета НДС, 3 134 799,55 (Три миллиона сто тридцать четыре тысячи семьсот девяносто девять рублей 55 коп.) с учетом НДС.</w:t>
            </w:r>
          </w:p>
          <w:p w:rsidR="003550AC" w:rsidRDefault="003550AC" w:rsidP="00EB496B">
            <w:pPr>
              <w:ind w:firstLine="709"/>
              <w:jc w:val="both"/>
              <w:rPr>
                <w:sz w:val="28"/>
                <w:szCs w:val="28"/>
              </w:rPr>
            </w:pPr>
            <w:r>
              <w:rPr>
                <w:sz w:val="28"/>
                <w:szCs w:val="28"/>
              </w:rPr>
              <w:t>Решение принято единогласно</w:t>
            </w:r>
          </w:p>
          <w:p w:rsidR="00C87ADB" w:rsidRDefault="00C87ADB" w:rsidP="00EB496B">
            <w:pPr>
              <w:ind w:firstLine="709"/>
              <w:jc w:val="both"/>
              <w:rPr>
                <w:sz w:val="28"/>
                <w:szCs w:val="28"/>
              </w:rPr>
            </w:pPr>
          </w:p>
          <w:p w:rsidR="00D24757" w:rsidRPr="003832F5" w:rsidRDefault="00C87ADB" w:rsidP="00C87ADB">
            <w:pPr>
              <w:ind w:firstLine="709"/>
              <w:jc w:val="both"/>
              <w:rPr>
                <w:szCs w:val="28"/>
              </w:rPr>
            </w:pPr>
            <w:r>
              <w:rPr>
                <w:sz w:val="28"/>
                <w:szCs w:val="28"/>
              </w:rPr>
              <w:t>Подписи</w:t>
            </w:r>
          </w:p>
        </w:tc>
        <w:tc>
          <w:tcPr>
            <w:tcW w:w="2857" w:type="dxa"/>
          </w:tcPr>
          <w:p w:rsidR="003550AC" w:rsidRPr="00CD14ED" w:rsidRDefault="003550AC" w:rsidP="00EB496B">
            <w:pPr>
              <w:rPr>
                <w:sz w:val="28"/>
                <w:szCs w:val="28"/>
              </w:rPr>
            </w:pPr>
          </w:p>
        </w:tc>
      </w:tr>
    </w:tbl>
    <w:p w:rsidR="003550AC" w:rsidRPr="00CD14ED" w:rsidRDefault="003550AC" w:rsidP="003832F5">
      <w:pPr>
        <w:rPr>
          <w:sz w:val="28"/>
          <w:szCs w:val="28"/>
        </w:rPr>
      </w:pPr>
    </w:p>
    <w:sectPr w:rsidR="003550AC" w:rsidRPr="00CD14ED" w:rsidSect="004B7571">
      <w:pgSz w:w="11906" w:h="16838"/>
      <w:pgMar w:top="1134" w:right="850" w:bottom="1134" w:left="1701" w:header="708"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F73" w:rsidRDefault="00E36F73" w:rsidP="004B7571">
      <w:r>
        <w:separator/>
      </w:r>
    </w:p>
  </w:endnote>
  <w:endnote w:type="continuationSeparator" w:id="0">
    <w:p w:rsidR="00E36F73" w:rsidRDefault="00E36F73" w:rsidP="004B75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F73" w:rsidRDefault="00E36F73" w:rsidP="004B7571">
      <w:r>
        <w:separator/>
      </w:r>
    </w:p>
  </w:footnote>
  <w:footnote w:type="continuationSeparator" w:id="0">
    <w:p w:rsidR="00E36F73" w:rsidRDefault="00E36F73" w:rsidP="004B75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D30A3"/>
    <w:multiLevelType w:val="multilevel"/>
    <w:tmpl w:val="611847FC"/>
    <w:lvl w:ilvl="0">
      <w:start w:val="1"/>
      <w:numFmt w:val="decimal"/>
      <w:lvlText w:val="%1."/>
      <w:lvlJc w:val="left"/>
      <w:pPr>
        <w:ind w:left="432" w:hanging="43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50AC"/>
    <w:rsid w:val="000838E5"/>
    <w:rsid w:val="000D67D8"/>
    <w:rsid w:val="001139A3"/>
    <w:rsid w:val="002C6945"/>
    <w:rsid w:val="003550AC"/>
    <w:rsid w:val="003832F5"/>
    <w:rsid w:val="00463B44"/>
    <w:rsid w:val="004B7571"/>
    <w:rsid w:val="004E2D71"/>
    <w:rsid w:val="005A4A3F"/>
    <w:rsid w:val="00622307"/>
    <w:rsid w:val="007D2C27"/>
    <w:rsid w:val="007D3B6F"/>
    <w:rsid w:val="00A07E9E"/>
    <w:rsid w:val="00B51A91"/>
    <w:rsid w:val="00B54D84"/>
    <w:rsid w:val="00BC6F75"/>
    <w:rsid w:val="00C87ADB"/>
    <w:rsid w:val="00D24757"/>
    <w:rsid w:val="00E36F73"/>
    <w:rsid w:val="00E8493B"/>
    <w:rsid w:val="00ED288C"/>
    <w:rsid w:val="00ED7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0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50AC"/>
    <w:pPr>
      <w:keepNext/>
      <w:tabs>
        <w:tab w:val="left" w:pos="3630"/>
      </w:tabs>
      <w:jc w:val="both"/>
      <w:outlineLvl w:val="0"/>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0AC"/>
    <w:rPr>
      <w:rFonts w:ascii="Times New Roman" w:eastAsia="Times New Roman" w:hAnsi="Times New Roman" w:cs="Times New Roman"/>
      <w:b/>
      <w:bCs/>
      <w:sz w:val="28"/>
      <w:szCs w:val="28"/>
      <w:u w:val="single"/>
      <w:lang w:eastAsia="ru-RU"/>
    </w:rPr>
  </w:style>
  <w:style w:type="paragraph" w:customStyle="1" w:styleId="3">
    <w:name w:val="Обычный3"/>
    <w:rsid w:val="003550AC"/>
    <w:pPr>
      <w:spacing w:after="0" w:line="240" w:lineRule="auto"/>
      <w:ind w:firstLine="720"/>
      <w:jc w:val="both"/>
    </w:pPr>
    <w:rPr>
      <w:rFonts w:ascii="Times New Roman" w:eastAsia="Times New Roman" w:hAnsi="Times New Roman" w:cs="Times New Roman"/>
      <w:sz w:val="28"/>
      <w:szCs w:val="20"/>
      <w:lang w:eastAsia="ru-RU"/>
    </w:rPr>
  </w:style>
  <w:style w:type="paragraph" w:styleId="a3">
    <w:name w:val="List Paragraph"/>
    <w:basedOn w:val="a"/>
    <w:uiPriority w:val="34"/>
    <w:qFormat/>
    <w:rsid w:val="003550AC"/>
    <w:pPr>
      <w:ind w:left="720"/>
      <w:contextualSpacing/>
    </w:p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3550AC"/>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3550AC"/>
    <w:rPr>
      <w:rFonts w:ascii="Times New Roman" w:eastAsia="MS Mincho" w:hAnsi="Times New Roman" w:cs="Times New Roman"/>
      <w:sz w:val="26"/>
      <w:szCs w:val="24"/>
      <w:lang w:eastAsia="ru-RU"/>
    </w:rPr>
  </w:style>
  <w:style w:type="table" w:styleId="a6">
    <w:name w:val="Table Grid"/>
    <w:basedOn w:val="a1"/>
    <w:uiPriority w:val="59"/>
    <w:rsid w:val="00355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4B7571"/>
    <w:pPr>
      <w:tabs>
        <w:tab w:val="center" w:pos="4677"/>
        <w:tab w:val="right" w:pos="9355"/>
      </w:tabs>
    </w:pPr>
  </w:style>
  <w:style w:type="character" w:customStyle="1" w:styleId="a8">
    <w:name w:val="Верхний колонтитул Знак"/>
    <w:basedOn w:val="a0"/>
    <w:link w:val="a7"/>
    <w:uiPriority w:val="99"/>
    <w:semiHidden/>
    <w:rsid w:val="004B7571"/>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4B7571"/>
    <w:pPr>
      <w:tabs>
        <w:tab w:val="center" w:pos="4677"/>
        <w:tab w:val="right" w:pos="9355"/>
      </w:tabs>
    </w:pPr>
  </w:style>
  <w:style w:type="character" w:customStyle="1" w:styleId="aa">
    <w:name w:val="Нижний колонтитул Знак"/>
    <w:basedOn w:val="a0"/>
    <w:link w:val="a9"/>
    <w:uiPriority w:val="99"/>
    <w:semiHidden/>
    <w:rsid w:val="004B757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486</Words>
  <Characters>2771</Characters>
  <Application>Microsoft Office Word</Application>
  <DocSecurity>0</DocSecurity>
  <Lines>23</Lines>
  <Paragraphs>6</Paragraphs>
  <ScaleCrop>false</ScaleCrop>
  <Company>ВВРЗ</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Корнева А В</dc:creator>
  <cp:keywords/>
  <dc:description/>
  <cp:lastModifiedBy>belenkovsa</cp:lastModifiedBy>
  <cp:revision>12</cp:revision>
  <cp:lastPrinted>2017-07-27T07:52:00Z</cp:lastPrinted>
  <dcterms:created xsi:type="dcterms:W3CDTF">2017-07-26T13:01:00Z</dcterms:created>
  <dcterms:modified xsi:type="dcterms:W3CDTF">2017-07-27T11:01:00Z</dcterms:modified>
</cp:coreProperties>
</file>