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CE1DF7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3A58BD" w:rsidRPr="00E96533" w:rsidRDefault="00B030CA" w:rsidP="003A58BD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E96533">
        <w:rPr>
          <w:b/>
          <w:szCs w:val="28"/>
        </w:rPr>
        <w:t>9</w:t>
      </w:r>
      <w:r w:rsidR="00DC0AB6" w:rsidRPr="003A58BD">
        <w:rPr>
          <w:b/>
          <w:szCs w:val="28"/>
        </w:rPr>
        <w:t>-ВВРЗ/201</w:t>
      </w:r>
      <w:r w:rsidR="00CE1DF7">
        <w:rPr>
          <w:b/>
          <w:szCs w:val="28"/>
        </w:rPr>
        <w:t>7</w:t>
      </w:r>
      <w:r w:rsidRPr="003A58BD">
        <w:rPr>
          <w:b/>
          <w:bCs/>
          <w:szCs w:val="28"/>
        </w:rPr>
        <w:t xml:space="preserve"> </w:t>
      </w:r>
      <w:r w:rsidR="007C272A" w:rsidRPr="003A58BD">
        <w:rPr>
          <w:b/>
          <w:szCs w:val="28"/>
        </w:rPr>
        <w:t xml:space="preserve">на право </w:t>
      </w:r>
      <w:r w:rsidR="003A58BD" w:rsidRPr="003A58BD">
        <w:rPr>
          <w:b/>
          <w:szCs w:val="28"/>
        </w:rPr>
        <w:t xml:space="preserve">заключения </w:t>
      </w:r>
      <w:r w:rsidR="00CE1DF7" w:rsidRPr="00CE1DF7">
        <w:rPr>
          <w:b/>
          <w:szCs w:val="28"/>
        </w:rPr>
        <w:t xml:space="preserve">договора  </w:t>
      </w:r>
      <w:r w:rsidR="00CE1DF7" w:rsidRPr="00CE1DF7">
        <w:rPr>
          <w:b/>
          <w:color w:val="000000"/>
          <w:szCs w:val="28"/>
        </w:rPr>
        <w:t>на</w:t>
      </w:r>
      <w:r w:rsidR="00CE1DF7" w:rsidRPr="00CE1DF7">
        <w:rPr>
          <w:b/>
          <w:color w:val="00B050"/>
          <w:szCs w:val="28"/>
        </w:rPr>
        <w:t xml:space="preserve"> </w:t>
      </w:r>
      <w:r w:rsidR="00E96533" w:rsidRPr="00E96533">
        <w:rPr>
          <w:b/>
          <w:color w:val="000000"/>
          <w:szCs w:val="28"/>
        </w:rPr>
        <w:t>выполнение работ по капитальному ремонту</w:t>
      </w:r>
      <w:r w:rsidR="00E96533" w:rsidRPr="00E96533">
        <w:rPr>
          <w:b/>
          <w:szCs w:val="28"/>
        </w:rPr>
        <w:t xml:space="preserve"> здания служебно-бытового блока, инв. № 6003, находящегося на балансе </w:t>
      </w:r>
      <w:r w:rsidR="00E96533" w:rsidRPr="00E96533">
        <w:rPr>
          <w:b/>
          <w:color w:val="000000"/>
          <w:szCs w:val="28"/>
        </w:rPr>
        <w:t xml:space="preserve">Воронежского ВРЗ - филиале АО «ВРМ», расположенном по адресу: </w:t>
      </w:r>
      <w:r w:rsidR="00E96533" w:rsidRPr="00E96533">
        <w:rPr>
          <w:b/>
          <w:bCs/>
          <w:szCs w:val="28"/>
        </w:rPr>
        <w:t xml:space="preserve"> </w:t>
      </w:r>
      <w:r w:rsidR="00E96533" w:rsidRPr="00E96533">
        <w:rPr>
          <w:b/>
          <w:szCs w:val="28"/>
        </w:rPr>
        <w:t>пер. Богдана Хмельницкого, д.1,</w:t>
      </w:r>
      <w:r w:rsidR="00E96533" w:rsidRPr="00E96533">
        <w:rPr>
          <w:b/>
          <w:color w:val="000000"/>
          <w:szCs w:val="28"/>
        </w:rPr>
        <w:t xml:space="preserve"> в 2017  году</w:t>
      </w:r>
      <w:r w:rsidR="00CE1DF7" w:rsidRPr="00E96533">
        <w:rPr>
          <w:b/>
          <w:color w:val="000000"/>
          <w:szCs w:val="28"/>
        </w:rPr>
        <w:t>.</w:t>
      </w:r>
    </w:p>
    <w:p w:rsidR="00CE1DF7" w:rsidRPr="003A58BD" w:rsidRDefault="00CE1DF7" w:rsidP="003A58BD">
      <w:pPr>
        <w:pStyle w:val="1"/>
        <w:ind w:left="709" w:firstLine="0"/>
        <w:jc w:val="center"/>
        <w:rPr>
          <w:b/>
        </w:rPr>
      </w:pP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CE1DF7" w:rsidRPr="00CE1DF7" w:rsidRDefault="00E07276" w:rsidP="00CE1DF7">
      <w:pPr>
        <w:pStyle w:val="1"/>
        <w:ind w:firstLine="709"/>
        <w:rPr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E96533">
        <w:rPr>
          <w:szCs w:val="28"/>
        </w:rPr>
        <w:t>9</w:t>
      </w:r>
      <w:r w:rsidR="00DC0AB6" w:rsidRPr="00CE1DF7">
        <w:rPr>
          <w:szCs w:val="28"/>
        </w:rPr>
        <w:t>-ВВРЗ/201</w:t>
      </w:r>
      <w:r w:rsidR="00CE1DF7" w:rsidRPr="00CE1DF7">
        <w:rPr>
          <w:szCs w:val="28"/>
        </w:rPr>
        <w:t>7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3A58BD" w:rsidRPr="00CE1DF7">
        <w:rPr>
          <w:szCs w:val="28"/>
        </w:rPr>
        <w:t xml:space="preserve">заключения </w:t>
      </w:r>
      <w:r w:rsidR="00CE1DF7" w:rsidRPr="00CD2D9C">
        <w:rPr>
          <w:szCs w:val="28"/>
        </w:rPr>
        <w:t xml:space="preserve">договора  </w:t>
      </w:r>
      <w:r w:rsidR="00CE1DF7" w:rsidRPr="00786B3B">
        <w:rPr>
          <w:color w:val="000000"/>
          <w:szCs w:val="28"/>
        </w:rPr>
        <w:t>на</w:t>
      </w:r>
      <w:r w:rsidR="00CE1DF7" w:rsidRPr="00786B3B">
        <w:rPr>
          <w:color w:val="00B050"/>
          <w:szCs w:val="28"/>
        </w:rPr>
        <w:t xml:space="preserve"> </w:t>
      </w:r>
      <w:r w:rsidR="00E96533" w:rsidRPr="002B7F84">
        <w:rPr>
          <w:color w:val="000000"/>
          <w:szCs w:val="28"/>
        </w:rPr>
        <w:t>выполнение работ по капитальному ремонту</w:t>
      </w:r>
      <w:r w:rsidR="00E96533" w:rsidRPr="002B7F84">
        <w:rPr>
          <w:b/>
          <w:szCs w:val="28"/>
        </w:rPr>
        <w:t xml:space="preserve"> </w:t>
      </w:r>
      <w:r w:rsidR="00E96533" w:rsidRPr="002B7F84">
        <w:rPr>
          <w:szCs w:val="28"/>
        </w:rPr>
        <w:t xml:space="preserve">здания служебно-бытового блока, инв. № 6003, находящегося на балансе </w:t>
      </w:r>
      <w:r w:rsidR="00E96533" w:rsidRPr="002B7F84">
        <w:rPr>
          <w:color w:val="000000"/>
          <w:szCs w:val="28"/>
        </w:rPr>
        <w:t xml:space="preserve">Воронежского ВРЗ - филиале АО «ВРМ», расположенном по адресу: </w:t>
      </w:r>
      <w:r w:rsidR="00E96533" w:rsidRPr="002B7F84">
        <w:rPr>
          <w:b/>
          <w:bCs/>
          <w:szCs w:val="28"/>
        </w:rPr>
        <w:t xml:space="preserve"> </w:t>
      </w:r>
      <w:r w:rsidR="00E96533" w:rsidRPr="002B7F84">
        <w:rPr>
          <w:szCs w:val="28"/>
        </w:rPr>
        <w:t>пер. Богдана Хмельницкого, д.1,</w:t>
      </w:r>
      <w:r w:rsidR="00E96533" w:rsidRPr="002B7F84">
        <w:rPr>
          <w:color w:val="000000"/>
          <w:szCs w:val="28"/>
        </w:rPr>
        <w:t xml:space="preserve"> в 2017  году</w:t>
      </w:r>
      <w:r w:rsidR="00CE1DF7">
        <w:rPr>
          <w:color w:val="000000"/>
          <w:szCs w:val="28"/>
        </w:rPr>
        <w:t xml:space="preserve">. 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F7906" w:rsidRDefault="00CF7906" w:rsidP="00FC34B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E1DF7" w:rsidRDefault="00CE1DF7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152802">
        <w:trPr>
          <w:trHeight w:val="416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5533510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5533510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5533510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5533510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5533510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D842C9" w:rsidRPr="00657DE8" w:rsidRDefault="00152802" w:rsidP="00D842C9">
      <w:pPr>
        <w:pStyle w:val="1"/>
        <w:ind w:firstLine="567"/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E96533">
        <w:rPr>
          <w:szCs w:val="28"/>
        </w:rPr>
        <w:t>9</w:t>
      </w:r>
      <w:r w:rsidR="00F37796">
        <w:rPr>
          <w:szCs w:val="28"/>
        </w:rPr>
        <w:t>-</w:t>
      </w:r>
      <w:r>
        <w:rPr>
          <w:szCs w:val="28"/>
        </w:rPr>
        <w:t xml:space="preserve"> </w:t>
      </w:r>
      <w:r w:rsidRPr="00543107">
        <w:rPr>
          <w:szCs w:val="28"/>
        </w:rPr>
        <w:t>ВВРЗ/201</w:t>
      </w:r>
      <w:r w:rsidR="00CE1DF7">
        <w:rPr>
          <w:szCs w:val="28"/>
        </w:rPr>
        <w:t>7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 xml:space="preserve">на право </w:t>
      </w:r>
      <w:r w:rsidRPr="00CD2D9C">
        <w:rPr>
          <w:szCs w:val="28"/>
        </w:rPr>
        <w:t xml:space="preserve">заключения договора  </w:t>
      </w:r>
      <w:r w:rsidRPr="00786B3B">
        <w:rPr>
          <w:color w:val="000000"/>
          <w:szCs w:val="28"/>
        </w:rPr>
        <w:t>на</w:t>
      </w:r>
      <w:r w:rsidRPr="00786B3B">
        <w:rPr>
          <w:color w:val="00B050"/>
          <w:szCs w:val="28"/>
        </w:rPr>
        <w:t xml:space="preserve"> </w:t>
      </w:r>
      <w:r w:rsidR="00E96533" w:rsidRPr="002B7F84">
        <w:rPr>
          <w:color w:val="000000"/>
          <w:szCs w:val="28"/>
        </w:rPr>
        <w:t>выполнение работ по капитальному ремонту</w:t>
      </w:r>
      <w:r w:rsidR="00E96533" w:rsidRPr="002B7F84">
        <w:rPr>
          <w:b/>
          <w:szCs w:val="28"/>
        </w:rPr>
        <w:t xml:space="preserve"> </w:t>
      </w:r>
      <w:r w:rsidR="00E96533" w:rsidRPr="002B7F84">
        <w:rPr>
          <w:szCs w:val="28"/>
        </w:rPr>
        <w:t xml:space="preserve">здания служебно-бытового блока, инв. № 6003 (далее – Договор), находящегося на балансе </w:t>
      </w:r>
      <w:r w:rsidR="00E96533" w:rsidRPr="002B7F84">
        <w:rPr>
          <w:color w:val="000000"/>
          <w:szCs w:val="28"/>
        </w:rPr>
        <w:t xml:space="preserve">Воронежского ВРЗ - филиале АО «ВРМ», расположенном по адресу: </w:t>
      </w:r>
      <w:r w:rsidR="00E96533" w:rsidRPr="002B7F84">
        <w:rPr>
          <w:b/>
          <w:bCs/>
          <w:szCs w:val="28"/>
        </w:rPr>
        <w:t xml:space="preserve"> </w:t>
      </w:r>
      <w:r w:rsidR="00E96533" w:rsidRPr="002B7F84">
        <w:rPr>
          <w:szCs w:val="28"/>
        </w:rPr>
        <w:t>пер. Богдана Хмельницкого, д.1,</w:t>
      </w:r>
      <w:r w:rsidR="00E96533" w:rsidRPr="002B7F84">
        <w:rPr>
          <w:color w:val="000000"/>
          <w:szCs w:val="28"/>
        </w:rPr>
        <w:t xml:space="preserve"> в 2017  году</w:t>
      </w:r>
      <w:r w:rsidR="00E96533">
        <w:rPr>
          <w:color w:val="000000"/>
          <w:szCs w:val="28"/>
        </w:rPr>
        <w:t xml:space="preserve"> </w:t>
      </w:r>
      <w:r w:rsidR="00D842C9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337FBA" w:rsidRDefault="00152802" w:rsidP="00152802">
      <w:pPr>
        <w:pStyle w:val="1"/>
      </w:pP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sectPr w:rsidR="00152802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2C" w:rsidRDefault="006B332C" w:rsidP="00D03B30">
      <w:r>
        <w:separator/>
      </w:r>
    </w:p>
  </w:endnote>
  <w:endnote w:type="continuationSeparator" w:id="0">
    <w:p w:rsidR="006B332C" w:rsidRDefault="006B332C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BB2C1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BB2C1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D64203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2C" w:rsidRDefault="006B332C" w:rsidP="00D03B30">
      <w:r>
        <w:separator/>
      </w:r>
    </w:p>
  </w:footnote>
  <w:footnote w:type="continuationSeparator" w:id="0">
    <w:p w:rsidR="006B332C" w:rsidRDefault="006B332C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BB2C1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0FF5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2B69"/>
    <w:rsid w:val="006B332C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2C14"/>
    <w:rsid w:val="00BB6450"/>
    <w:rsid w:val="00BB75F1"/>
    <w:rsid w:val="00BC1777"/>
    <w:rsid w:val="00BC586C"/>
    <w:rsid w:val="00BC64A3"/>
    <w:rsid w:val="00BC7030"/>
    <w:rsid w:val="00BD1B05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51A7E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4203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5C3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96533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796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55</cp:revision>
  <cp:lastPrinted>2017-02-17T06:34:00Z</cp:lastPrinted>
  <dcterms:created xsi:type="dcterms:W3CDTF">2012-02-13T09:28:00Z</dcterms:created>
  <dcterms:modified xsi:type="dcterms:W3CDTF">2017-05-03T13:45:00Z</dcterms:modified>
</cp:coreProperties>
</file>