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5" w:rsidRDefault="00DD6885" w:rsidP="00DD6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ОК/14-1</w:t>
      </w:r>
    </w:p>
    <w:p w:rsidR="00DD6885" w:rsidRDefault="00DD6885" w:rsidP="00DD6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DD6885" w:rsidRDefault="00DD6885" w:rsidP="00DD6885">
      <w:pPr>
        <w:jc w:val="center"/>
        <w:rPr>
          <w:b/>
          <w:sz w:val="16"/>
          <w:szCs w:val="16"/>
        </w:rPr>
      </w:pPr>
    </w:p>
    <w:p w:rsidR="00DD6885" w:rsidRDefault="00DD6885" w:rsidP="00DD6885">
      <w:pPr>
        <w:tabs>
          <w:tab w:val="left" w:pos="6663"/>
        </w:tabs>
        <w:jc w:val="both"/>
        <w:rPr>
          <w:sz w:val="28"/>
          <w:szCs w:val="28"/>
        </w:rPr>
      </w:pPr>
    </w:p>
    <w:p w:rsidR="00DD6885" w:rsidRDefault="00DD6885" w:rsidP="00DD688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«10»  июня 2015 г.</w:t>
      </w:r>
    </w:p>
    <w:p w:rsidR="00DD6885" w:rsidRDefault="00DD6885" w:rsidP="00DD6885">
      <w:pPr>
        <w:tabs>
          <w:tab w:val="left" w:pos="6663"/>
        </w:tabs>
        <w:jc w:val="both"/>
        <w:rPr>
          <w:sz w:val="28"/>
          <w:szCs w:val="28"/>
        </w:rPr>
      </w:pPr>
    </w:p>
    <w:p w:rsidR="00DD6885" w:rsidRDefault="00DD6885" w:rsidP="00DD6885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группы.</w:t>
      </w:r>
    </w:p>
    <w:p w:rsidR="00DD6885" w:rsidRDefault="00DD6885" w:rsidP="00DD6885">
      <w:pPr>
        <w:spacing w:line="360" w:lineRule="auto"/>
        <w:rPr>
          <w:sz w:val="16"/>
          <w:szCs w:val="16"/>
          <w:u w:val="single"/>
        </w:rPr>
      </w:pPr>
    </w:p>
    <w:p w:rsidR="00DD6885" w:rsidRDefault="00DD6885" w:rsidP="00DD688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D6885" w:rsidRDefault="00DD6885" w:rsidP="00DD6885">
      <w:pPr>
        <w:jc w:val="center"/>
        <w:outlineLvl w:val="0"/>
        <w:rPr>
          <w:b/>
          <w:sz w:val="16"/>
          <w:szCs w:val="16"/>
          <w:u w:val="single"/>
        </w:rPr>
      </w:pPr>
    </w:p>
    <w:p w:rsidR="00DD6885" w:rsidRDefault="00DD6885" w:rsidP="00DD6885">
      <w:pPr>
        <w:pStyle w:val="11"/>
        <w:ind w:right="-28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ОК/14-ВВРЗ/2015 </w:t>
      </w:r>
      <w:r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>
        <w:rPr>
          <w:rFonts w:ascii="Times New Roman" w:hAnsi="Times New Roman" w:cs="Times New Roman"/>
          <w:szCs w:val="28"/>
        </w:rPr>
        <w:t>договора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на оказание услуг по предоставлению персонала проводников для подготовки, обслуживания и сопровождения в пути следования вагонов </w:t>
      </w:r>
      <w:r>
        <w:rPr>
          <w:rFonts w:ascii="Times New Roman" w:hAnsi="Times New Roman" w:cs="Times New Roman"/>
          <w:color w:val="000000"/>
          <w:szCs w:val="28"/>
        </w:rPr>
        <w:t xml:space="preserve"> в 2015  году</w:t>
      </w:r>
      <w:r>
        <w:rPr>
          <w:rFonts w:ascii="Times New Roman" w:hAnsi="Times New Roman" w:cs="Times New Roman"/>
        </w:rPr>
        <w:t>.</w:t>
      </w:r>
    </w:p>
    <w:p w:rsidR="00DD6885" w:rsidRDefault="00DD6885" w:rsidP="00DD6885">
      <w:pPr>
        <w:pStyle w:val="3"/>
        <w:ind w:right="-284"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ОК/14-ВВРЗ/2015.</w:t>
      </w:r>
    </w:p>
    <w:p w:rsidR="00DD6885" w:rsidRDefault="00DD6885" w:rsidP="00DD6885">
      <w:pPr>
        <w:pStyle w:val="3"/>
        <w:tabs>
          <w:tab w:val="left" w:pos="851"/>
        </w:tabs>
        <w:ind w:right="-284"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ОК/14-ВВРЗ/2015.</w:t>
      </w:r>
    </w:p>
    <w:p w:rsidR="00DD6885" w:rsidRDefault="00DD6885" w:rsidP="00DD6885">
      <w:pPr>
        <w:pStyle w:val="1"/>
        <w:tabs>
          <w:tab w:val="left" w:pos="720"/>
        </w:tabs>
        <w:jc w:val="center"/>
        <w:rPr>
          <w:sz w:val="16"/>
          <w:szCs w:val="16"/>
        </w:rPr>
      </w:pPr>
    </w:p>
    <w:p w:rsidR="00DD6885" w:rsidRDefault="00DD6885" w:rsidP="00DD6885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D6885" w:rsidRDefault="00DD6885" w:rsidP="00DD6885">
      <w:pPr>
        <w:rPr>
          <w:sz w:val="16"/>
          <w:szCs w:val="16"/>
        </w:rPr>
      </w:pPr>
    </w:p>
    <w:tbl>
      <w:tblPr>
        <w:tblW w:w="10149" w:type="dxa"/>
        <w:tblLayout w:type="fixed"/>
        <w:tblLook w:val="01E0"/>
      </w:tblPr>
      <w:tblGrid>
        <w:gridCol w:w="9889"/>
        <w:gridCol w:w="260"/>
      </w:tblGrid>
      <w:tr w:rsidR="00DD6885" w:rsidTr="00DD6885">
        <w:tc>
          <w:tcPr>
            <w:tcW w:w="9889" w:type="dxa"/>
          </w:tcPr>
          <w:p w:rsidR="00DD6885" w:rsidRDefault="00DD6885" w:rsidP="00AA1E92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ОК/14-ВВРЗ/2015.</w:t>
            </w:r>
          </w:p>
          <w:p w:rsidR="00DD6885" w:rsidRDefault="00DD6885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поступило 2 (две) заявки.</w:t>
            </w:r>
          </w:p>
          <w:p w:rsidR="00DD6885" w:rsidRDefault="00DD6885" w:rsidP="00AA1E92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ОК/14-ВВРЗ/2015:</w:t>
            </w:r>
          </w:p>
          <w:p w:rsidR="00DD6885" w:rsidRDefault="00DD6885" w:rsidP="00AA1E92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Допущены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и признаны участниками:</w:t>
            </w:r>
          </w:p>
          <w:p w:rsidR="00DD6885" w:rsidRDefault="00DD6885">
            <w:pPr>
              <w:pStyle w:val="a6"/>
              <w:spacing w:line="276" w:lineRule="auto"/>
              <w:ind w:left="10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СервисТрансКлининг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DD6885" w:rsidRDefault="00DD6885">
            <w:pPr>
              <w:pStyle w:val="a6"/>
              <w:spacing w:line="276" w:lineRule="auto"/>
              <w:ind w:left="10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ЖелДорСервис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  <w:p w:rsidR="00DD6885" w:rsidRDefault="00DD688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D6885" w:rsidRDefault="00DD688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D6885" w:rsidRDefault="00DD688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D6885" w:rsidRDefault="00DD6885" w:rsidP="00AA1E92">
            <w:pPr>
              <w:numPr>
                <w:ilvl w:val="1"/>
                <w:numId w:val="3"/>
              </w:numPr>
              <w:spacing w:line="276" w:lineRule="auto"/>
              <w:ind w:left="0" w:firstLine="709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>
              <w:rPr>
                <w:iCs/>
                <w:sz w:val="28"/>
                <w:szCs w:val="28"/>
                <w:lang w:eastAsia="en-US"/>
              </w:rPr>
              <w:t>№ </w:t>
            </w:r>
            <w:r>
              <w:rPr>
                <w:color w:val="000000"/>
                <w:sz w:val="28"/>
                <w:szCs w:val="28"/>
                <w:lang w:eastAsia="en-US"/>
              </w:rPr>
              <w:t>ОК/14-ВВРЗ/2015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Каждой конкурсной заявке присваивается балльная оценка. </w:t>
            </w:r>
          </w:p>
          <w:p w:rsidR="00DD6885" w:rsidRDefault="00DD6885" w:rsidP="00AA1E92">
            <w:pPr>
              <w:pStyle w:val="a4"/>
              <w:numPr>
                <w:ilvl w:val="1"/>
                <w:numId w:val="3"/>
              </w:numPr>
              <w:suppressAutoHyphens/>
              <w:spacing w:line="276" w:lineRule="auto"/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rPr>
                <w:lang w:eastAsia="en-US"/>
              </w:rPr>
              <w:t>случае</w:t>
            </w:r>
            <w:proofErr w:type="gramEnd"/>
            <w:r>
              <w:rPr>
                <w:lang w:eastAsia="en-US"/>
              </w:rPr>
              <w:t xml:space="preserve">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DD6885" w:rsidRDefault="00DD6885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итогам оценки экспертной группой конкурсных заявок участникам </w:t>
            </w:r>
            <w:r>
              <w:rPr>
                <w:sz w:val="28"/>
                <w:lang w:eastAsia="en-US"/>
              </w:rPr>
              <w:lastRenderedPageBreak/>
              <w:t>присвоены следующие итоговые балльные оценки и порядковые номера:</w:t>
            </w:r>
          </w:p>
          <w:p w:rsidR="00DD6885" w:rsidRDefault="00DD6885">
            <w:pPr>
              <w:spacing w:line="276" w:lineRule="auto"/>
              <w:ind w:firstLine="708"/>
              <w:jc w:val="both"/>
              <w:rPr>
                <w:sz w:val="28"/>
                <w:lang w:eastAsia="en-US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8"/>
              <w:gridCol w:w="4032"/>
              <w:gridCol w:w="3249"/>
            </w:tblGrid>
            <w:tr w:rsidR="00DD6885" w:rsidTr="00DD6885">
              <w:trPr>
                <w:trHeight w:val="28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Порядковый номер заявки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Наименование участника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Балльная оценка заявки, представленной участником </w:t>
                  </w:r>
                </w:p>
              </w:tc>
            </w:tr>
            <w:tr w:rsidR="00DD6885" w:rsidTr="00DD6885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ЖелДорСервис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DD6885" w:rsidTr="00DD6885">
              <w:trPr>
                <w:trHeight w:val="315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4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885" w:rsidRDefault="00DD6885">
                  <w:pPr>
                    <w:spacing w:line="276" w:lineRule="auto"/>
                    <w:outlineLvl w:val="0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СервисТрансКлининг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885" w:rsidRDefault="00DD6885">
                  <w:pPr>
                    <w:tabs>
                      <w:tab w:val="left" w:pos="4860"/>
                    </w:tabs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88,68</w:t>
                  </w:r>
                </w:p>
              </w:tc>
            </w:tr>
          </w:tbl>
          <w:p w:rsidR="00DD6885" w:rsidRDefault="00DD6885">
            <w:pPr>
              <w:spacing w:line="276" w:lineRule="auto"/>
              <w:ind w:left="720" w:right="-338"/>
              <w:outlineLvl w:val="0"/>
              <w:rPr>
                <w:i/>
                <w:sz w:val="28"/>
                <w:szCs w:val="28"/>
                <w:lang w:eastAsia="en-US"/>
              </w:rPr>
            </w:pPr>
          </w:p>
          <w:p w:rsidR="00DD6885" w:rsidRDefault="00DD688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DD6885" w:rsidRDefault="00DD6885">
            <w:pPr>
              <w:spacing w:line="276" w:lineRule="auto"/>
              <w:ind w:firstLine="709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  <w:p w:rsidR="00DD6885" w:rsidRDefault="00DD688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и оценке конкурсных заявок участников открытого конкурса № </w:t>
            </w:r>
            <w:r>
              <w:rPr>
                <w:color w:val="000000"/>
                <w:sz w:val="28"/>
                <w:szCs w:val="28"/>
                <w:lang w:eastAsia="en-US"/>
              </w:rPr>
              <w:t>ОК/14-ВВРЗ/2015</w:t>
            </w:r>
            <w:r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следующие предложения:</w:t>
            </w:r>
          </w:p>
          <w:p w:rsidR="00DD6885" w:rsidRDefault="00DD6885">
            <w:pPr>
              <w:spacing w:line="276" w:lineRule="auto"/>
              <w:ind w:firstLine="567"/>
              <w:jc w:val="both"/>
              <w:outlineLvl w:val="0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Признать победителем открытого конкурса №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ОК/14-ВВРЗ/2015 </w:t>
            </w:r>
            <w:r>
              <w:rPr>
                <w:sz w:val="28"/>
                <w:szCs w:val="28"/>
                <w:lang w:eastAsia="en-US"/>
              </w:rPr>
              <w:t>-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ЖелДорСервис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получившего максимальную балльную оценку со стоимостью предложения  1 121 076 рублей  00 копеек (один  миллион  сто двадцать одна тысяча семьдесят шесть  рублей 00 копеек) без НДС,  1 322 869 рублей  68  копеек (один миллион триста двадцать две тысячи восемьсот шестьдесят девять рублей  68 копеек) с учетом НДС.</w:t>
            </w:r>
            <w:proofErr w:type="gramEnd"/>
          </w:p>
          <w:p w:rsidR="00DD6885" w:rsidRDefault="00DD6885">
            <w:pPr>
              <w:spacing w:line="276" w:lineRule="auto"/>
              <w:ind w:firstLine="567"/>
              <w:jc w:val="both"/>
              <w:rPr>
                <w:sz w:val="28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3.2. </w:t>
            </w:r>
            <w:r>
              <w:rPr>
                <w:sz w:val="28"/>
                <w:szCs w:val="28"/>
                <w:lang w:eastAsia="en-US"/>
              </w:rPr>
              <w:t>Поручить начальнику отдела сбыта и маркетинга  в установленном    порядке   обеспечить    заключение    договора   с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ЖелДорСервис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».                               </w:t>
            </w:r>
          </w:p>
          <w:p w:rsidR="00DD6885" w:rsidRDefault="00DD688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tbl>
            <w:tblPr>
              <w:tblW w:w="9838" w:type="dxa"/>
              <w:tblLayout w:type="fixed"/>
              <w:tblLook w:val="01E0"/>
            </w:tblPr>
            <w:tblGrid>
              <w:gridCol w:w="9602"/>
              <w:gridCol w:w="236"/>
            </w:tblGrid>
            <w:tr w:rsidR="00DD6885" w:rsidTr="00DD6885">
              <w:trPr>
                <w:trHeight w:val="272"/>
              </w:trPr>
              <w:tc>
                <w:tcPr>
                  <w:tcW w:w="9602" w:type="dxa"/>
                  <w:hideMark/>
                </w:tcPr>
                <w:p w:rsidR="00DD6885" w:rsidRDefault="00DD688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393"/>
              </w:trPr>
              <w:tc>
                <w:tcPr>
                  <w:tcW w:w="9602" w:type="dxa"/>
                  <w:hideMark/>
                </w:tcPr>
                <w:p w:rsidR="00DD6885" w:rsidRPr="00DD6885" w:rsidRDefault="00DD6885">
                  <w:pPr>
                    <w:spacing w:line="276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DD688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Подписи.</w:t>
                  </w:r>
                </w:p>
              </w:tc>
              <w:tc>
                <w:tcPr>
                  <w:tcW w:w="236" w:type="dxa"/>
                  <w:hideMark/>
                </w:tcPr>
                <w:p w:rsidR="00DD6885" w:rsidRDefault="00DD688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705"/>
              </w:trPr>
              <w:tc>
                <w:tcPr>
                  <w:tcW w:w="9602" w:type="dxa"/>
                  <w:hideMark/>
                </w:tcPr>
                <w:p w:rsidR="00DD6885" w:rsidRDefault="00DD688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829"/>
              </w:trPr>
              <w:tc>
                <w:tcPr>
                  <w:tcW w:w="9602" w:type="dxa"/>
                  <w:hideMark/>
                </w:tcPr>
                <w:p w:rsidR="00DD6885" w:rsidRDefault="00DD6885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557"/>
              </w:trPr>
              <w:tc>
                <w:tcPr>
                  <w:tcW w:w="9602" w:type="dxa"/>
                </w:tcPr>
                <w:p w:rsidR="00DD6885" w:rsidRDefault="00DD688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557"/>
              </w:trPr>
              <w:tc>
                <w:tcPr>
                  <w:tcW w:w="9602" w:type="dxa"/>
                </w:tcPr>
                <w:p w:rsidR="00DD6885" w:rsidRDefault="00DD688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D6885" w:rsidTr="00DD6885">
              <w:trPr>
                <w:trHeight w:val="272"/>
              </w:trPr>
              <w:tc>
                <w:tcPr>
                  <w:tcW w:w="9602" w:type="dxa"/>
                </w:tcPr>
                <w:p w:rsidR="00DD6885" w:rsidRDefault="00DD6885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DD6885" w:rsidRDefault="00DD6885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D6885" w:rsidRDefault="00DD68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ayout w:type="fixed"/>
              <w:tblLook w:val="01E0"/>
            </w:tblPr>
            <w:tblGrid>
              <w:gridCol w:w="6477"/>
              <w:gridCol w:w="3208"/>
            </w:tblGrid>
            <w:tr w:rsidR="00DD6885" w:rsidTr="00DD6885">
              <w:trPr>
                <w:trHeight w:val="358"/>
              </w:trPr>
              <w:tc>
                <w:tcPr>
                  <w:tcW w:w="6477" w:type="dxa"/>
                </w:tcPr>
                <w:p w:rsidR="00DD6885" w:rsidRDefault="00DD6885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D6885" w:rsidRDefault="00DD6885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D6885" w:rsidRDefault="00DD68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" w:type="dxa"/>
          </w:tcPr>
          <w:p w:rsidR="00DD6885" w:rsidRDefault="00DD68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D6885" w:rsidRDefault="00DD6885" w:rsidP="00DD6885"/>
    <w:p w:rsidR="006D2E82" w:rsidRDefault="006D2E82"/>
    <w:sectPr w:rsidR="006D2E82" w:rsidSect="006D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927"/>
    <w:multiLevelType w:val="hybridMultilevel"/>
    <w:tmpl w:val="6EE6EFC6"/>
    <w:lvl w:ilvl="0" w:tplc="9E26C1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85"/>
    <w:rsid w:val="006D2E82"/>
    <w:rsid w:val="00D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85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85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DD688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DD6885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DD6885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DD6885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DD6885"/>
    <w:rPr>
      <w:sz w:val="28"/>
    </w:rPr>
  </w:style>
  <w:style w:type="paragraph" w:customStyle="1" w:styleId="11">
    <w:name w:val="Обычный1"/>
    <w:link w:val="Normal"/>
    <w:rsid w:val="00DD6885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DD68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Company>ВВРЗ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2015-06-09T07:12:00Z</dcterms:created>
  <dcterms:modified xsi:type="dcterms:W3CDTF">2015-06-09T07:15:00Z</dcterms:modified>
</cp:coreProperties>
</file>